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64A81" w14:textId="77777777" w:rsidR="00864F96" w:rsidRPr="00D632AC" w:rsidRDefault="00515311" w:rsidP="00F764BF">
      <w:pPr>
        <w:pStyle w:val="Heading1"/>
        <w:numPr>
          <w:ilvl w:val="0"/>
          <w:numId w:val="0"/>
        </w:numPr>
        <w:ind w:left="720" w:hanging="720"/>
        <w:jc w:val="both"/>
        <w:rPr>
          <w:b/>
          <w:bCs/>
        </w:rPr>
      </w:pPr>
      <w:r w:rsidRPr="00D632AC">
        <w:rPr>
          <w:b/>
          <w:bCs/>
        </w:rPr>
        <w:t xml:space="preserve">Assessment of the </w:t>
      </w:r>
      <w:r w:rsidR="006D7F4C" w:rsidRPr="00D632AC">
        <w:rPr>
          <w:b/>
          <w:bCs/>
        </w:rPr>
        <w:t>EU L</w:t>
      </w:r>
      <w:r w:rsidRPr="00D632AC">
        <w:rPr>
          <w:b/>
          <w:bCs/>
        </w:rPr>
        <w:t>egality of the UWWTD</w:t>
      </w:r>
    </w:p>
    <w:p w14:paraId="4034F61A" w14:textId="7ACD15E8" w:rsidR="00F02D1B" w:rsidRPr="00D632AC" w:rsidRDefault="008F6B22" w:rsidP="009E0916">
      <w:pPr>
        <w:pStyle w:val="BodyText"/>
        <w:jc w:val="both"/>
      </w:pPr>
      <w:r w:rsidRPr="00D632AC">
        <w:t xml:space="preserve">The UWWTD justifies the imposition of EPR </w:t>
      </w:r>
      <w:r w:rsidR="00EF4BB9">
        <w:t xml:space="preserve">obligations </w:t>
      </w:r>
      <w:r w:rsidRPr="00D632AC">
        <w:t>on producers of human medicines on the EU polluter</w:t>
      </w:r>
      <w:r w:rsidR="00C40EDC">
        <w:t xml:space="preserve"> </w:t>
      </w:r>
      <w:r w:rsidRPr="00D632AC">
        <w:t>pays principle and the need to incentiv</w:t>
      </w:r>
      <w:r w:rsidR="002F4513">
        <w:t>ize</w:t>
      </w:r>
      <w:r w:rsidRPr="00D632AC">
        <w:t xml:space="preserve"> producers to develop greener (pharmaceutical) products.  </w:t>
      </w:r>
      <w:proofErr w:type="gramStart"/>
      <w:r w:rsidRPr="00D632AC">
        <w:t>In particular, Article</w:t>
      </w:r>
      <w:proofErr w:type="gramEnd"/>
      <w:r w:rsidRPr="00D632AC">
        <w:t xml:space="preserve"> 1 of the Directive states that </w:t>
      </w:r>
      <w:r w:rsidRPr="00D632AC">
        <w:rPr>
          <w:rFonts w:cstheme="minorHAnsi"/>
        </w:rPr>
        <w:t xml:space="preserve">“[the UWWTD] also lays down rules on </w:t>
      </w:r>
      <w:r w:rsidR="001E3755" w:rsidRPr="00D632AC">
        <w:rPr>
          <w:rFonts w:cstheme="minorHAnsi"/>
        </w:rPr>
        <w:t xml:space="preserve">[…] </w:t>
      </w:r>
      <w:r w:rsidRPr="00D632AC">
        <w:rPr>
          <w:rFonts w:cstheme="minorHAnsi"/>
        </w:rPr>
        <w:t>the implementation of the polluter</w:t>
      </w:r>
      <w:r w:rsidR="00C40EDC">
        <w:rPr>
          <w:rFonts w:cstheme="minorHAnsi"/>
        </w:rPr>
        <w:t xml:space="preserve"> </w:t>
      </w:r>
      <w:r w:rsidRPr="00D632AC">
        <w:rPr>
          <w:rFonts w:cstheme="minorHAnsi"/>
        </w:rPr>
        <w:t>pay principle</w:t>
      </w:r>
      <w:r w:rsidR="009473F3">
        <w:rPr>
          <w:rFonts w:cstheme="minorHAnsi"/>
        </w:rPr>
        <w:t>,</w:t>
      </w:r>
      <w:r w:rsidR="002F4513">
        <w:rPr>
          <w:rFonts w:cstheme="minorHAnsi"/>
        </w:rPr>
        <w:t>”</w:t>
      </w:r>
      <w:r w:rsidR="001E3755" w:rsidRPr="00D632AC">
        <w:rPr>
          <w:rFonts w:cstheme="minorHAnsi"/>
        </w:rPr>
        <w:t xml:space="preserve"> </w:t>
      </w:r>
      <w:r w:rsidR="009473F3">
        <w:rPr>
          <w:rFonts w:cstheme="minorHAnsi"/>
        </w:rPr>
        <w:t>and</w:t>
      </w:r>
      <w:r w:rsidR="001E3755" w:rsidRPr="00D632AC">
        <w:rPr>
          <w:rFonts w:cstheme="minorHAnsi"/>
        </w:rPr>
        <w:t xml:space="preserve"> Recital 20 </w:t>
      </w:r>
      <w:r w:rsidR="009473F3">
        <w:rPr>
          <w:rFonts w:cstheme="minorHAnsi"/>
        </w:rPr>
        <w:t>further explains that</w:t>
      </w:r>
      <w:r w:rsidR="001E3755" w:rsidRPr="00D632AC">
        <w:rPr>
          <w:rFonts w:cstheme="minorHAnsi"/>
        </w:rPr>
        <w:t>:</w:t>
      </w:r>
    </w:p>
    <w:p w14:paraId="4AD228F9" w14:textId="680D5671" w:rsidR="001E3755" w:rsidRPr="00EF4BB9" w:rsidRDefault="001E3755" w:rsidP="009E0916">
      <w:pPr>
        <w:pStyle w:val="BodyText"/>
        <w:ind w:left="720"/>
        <w:jc w:val="both"/>
        <w:rPr>
          <w:sz w:val="20"/>
          <w:szCs w:val="20"/>
        </w:rPr>
      </w:pPr>
      <w:r w:rsidRPr="00EF4BB9">
        <w:rPr>
          <w:sz w:val="20"/>
          <w:szCs w:val="20"/>
        </w:rPr>
        <w:t>“[</w:t>
      </w:r>
      <w:proofErr w:type="spellStart"/>
      <w:r w:rsidRPr="00EF4BB9">
        <w:rPr>
          <w:sz w:val="20"/>
          <w:szCs w:val="20"/>
        </w:rPr>
        <w:t>i</w:t>
      </w:r>
      <w:proofErr w:type="spellEnd"/>
      <w:r w:rsidRPr="00EF4BB9">
        <w:rPr>
          <w:sz w:val="20"/>
          <w:szCs w:val="20"/>
        </w:rPr>
        <w:t xml:space="preserve">]n order to cover [the additional costs of quaternary treatment]  and in accordance with the </w:t>
      </w:r>
      <w:r w:rsidRPr="00EF4BB9">
        <w:rPr>
          <w:sz w:val="20"/>
          <w:szCs w:val="20"/>
          <w:u w:val="single"/>
        </w:rPr>
        <w:t>polluter</w:t>
      </w:r>
      <w:r w:rsidR="00C40EDC" w:rsidRPr="00EF4BB9">
        <w:rPr>
          <w:sz w:val="20"/>
          <w:szCs w:val="20"/>
          <w:u w:val="single"/>
        </w:rPr>
        <w:t xml:space="preserve"> </w:t>
      </w:r>
      <w:r w:rsidRPr="00EF4BB9">
        <w:rPr>
          <w:sz w:val="20"/>
          <w:szCs w:val="20"/>
          <w:u w:val="single"/>
        </w:rPr>
        <w:t>pays principle</w:t>
      </w:r>
      <w:r w:rsidRPr="00EF4BB9">
        <w:rPr>
          <w:sz w:val="20"/>
          <w:szCs w:val="20"/>
        </w:rPr>
        <w:t xml:space="preserve"> expressed in Article 191(2) of the [TFEU]), it is essential that the producers placing on the Union market products containing substances which, at the end of their life, are found as micropollutants in urban wastewaters (‘micropollutant substances’) take responsibility for the additional treatment required to remove those substances, generated in the context of their professional activities. A system of extended producer responsibility is the most appropriate means to achieve this, as it would limit the financial impact on the taxpayer and water tariff, </w:t>
      </w:r>
      <w:r w:rsidRPr="00EF4BB9">
        <w:rPr>
          <w:sz w:val="20"/>
          <w:szCs w:val="20"/>
          <w:u w:val="single"/>
        </w:rPr>
        <w:t>while providing an incentive to develop greener products</w:t>
      </w:r>
      <w:r w:rsidRPr="00EF4BB9">
        <w:rPr>
          <w:sz w:val="20"/>
          <w:szCs w:val="20"/>
        </w:rPr>
        <w:t>” (emphasis added).</w:t>
      </w:r>
    </w:p>
    <w:p w14:paraId="7B7AB703" w14:textId="4007CEFF" w:rsidR="00EA38A3" w:rsidRPr="00D632AC" w:rsidRDefault="00EA38A3" w:rsidP="009E0916">
      <w:pPr>
        <w:pStyle w:val="BodyText"/>
        <w:jc w:val="both"/>
      </w:pPr>
      <w:r w:rsidRPr="00D632AC">
        <w:rPr>
          <w:rFonts w:cstheme="minorHAnsi"/>
        </w:rPr>
        <w:t xml:space="preserve">Recital 21 also claims that the EPR obligations on producers of human medicines are proportionate on </w:t>
      </w:r>
      <w:r w:rsidR="002F4513">
        <w:rPr>
          <w:rFonts w:cstheme="minorHAnsi"/>
        </w:rPr>
        <w:t xml:space="preserve">the </w:t>
      </w:r>
      <w:r w:rsidRPr="00D632AC">
        <w:rPr>
          <w:rFonts w:cstheme="minorHAnsi"/>
        </w:rPr>
        <w:t>grounds that “[a]</w:t>
      </w:r>
      <w:proofErr w:type="spellStart"/>
      <w:r w:rsidRPr="00D632AC">
        <w:rPr>
          <w:rFonts w:cstheme="minorHAnsi"/>
        </w:rPr>
        <w:t>ccording</w:t>
      </w:r>
      <w:proofErr w:type="spellEnd"/>
      <w:r w:rsidRPr="00D632AC">
        <w:rPr>
          <w:rFonts w:cstheme="minorHAnsi"/>
        </w:rPr>
        <w:t xml:space="preserve"> to the available data, the potential increase of costs of the products or the potential reduction of the profit margins of the industries placing the products on the Union market due to the application of the extended producer responsibility</w:t>
      </w:r>
      <w:r w:rsidR="00211601" w:rsidRPr="00D632AC">
        <w:rPr>
          <w:rFonts w:cstheme="minorHAnsi"/>
        </w:rPr>
        <w:t xml:space="preserve"> </w:t>
      </w:r>
      <w:r w:rsidRPr="00D632AC">
        <w:rPr>
          <w:rFonts w:cstheme="minorHAnsi"/>
        </w:rPr>
        <w:t>would be marginal at EU level and would not endanger the affordability, availability and accessibility to these products on the EU market.”</w:t>
      </w:r>
    </w:p>
    <w:p w14:paraId="2DCBF723" w14:textId="28CE53E1" w:rsidR="00B11CE5" w:rsidRPr="00D632AC" w:rsidRDefault="004F3193" w:rsidP="009E0916">
      <w:pPr>
        <w:pStyle w:val="BodyText"/>
        <w:jc w:val="both"/>
        <w:rPr>
          <w:rFonts w:cstheme="minorHAnsi"/>
        </w:rPr>
      </w:pPr>
      <w:r w:rsidRPr="00D632AC">
        <w:t>However, desp</w:t>
      </w:r>
      <w:r w:rsidR="00E42DFB">
        <w:t>ite the UWWTD’s claim</w:t>
      </w:r>
      <w:r w:rsidRPr="00D632AC">
        <w:t xml:space="preserve">, </w:t>
      </w:r>
      <w:r w:rsidR="009473F3">
        <w:t xml:space="preserve">there are strong arguments to claim that </w:t>
      </w:r>
      <w:r w:rsidRPr="00D632AC">
        <w:t xml:space="preserve">the Directive </w:t>
      </w:r>
      <w:r w:rsidR="009473F3">
        <w:t>violates</w:t>
      </w:r>
      <w:r w:rsidRPr="00D632AC">
        <w:t xml:space="preserve"> the EU principles of polluter</w:t>
      </w:r>
      <w:r w:rsidR="00C40EDC">
        <w:t xml:space="preserve"> </w:t>
      </w:r>
      <w:r w:rsidRPr="00D632AC">
        <w:t xml:space="preserve">pays, proportionality, and non-discrimination.  </w:t>
      </w:r>
      <w:r w:rsidRPr="00E3593C">
        <w:t xml:space="preserve">As explained further below, this is because the EPR obligations will require producers of human medicines </w:t>
      </w:r>
      <w:r w:rsidR="00211601" w:rsidRPr="00E3593C">
        <w:t xml:space="preserve">to </w:t>
      </w:r>
      <w:r w:rsidR="00FA6E31" w:rsidRPr="00E3593C">
        <w:t>pay for significantly more tha</w:t>
      </w:r>
      <w:r w:rsidR="002F4513" w:rsidRPr="00E3593C">
        <w:t xml:space="preserve">n </w:t>
      </w:r>
      <w:r w:rsidR="00FA6E31" w:rsidRPr="00E3593C">
        <w:t>their products’ contribution</w:t>
      </w:r>
      <w:r w:rsidR="00B11CE5" w:rsidRPr="00E3593C">
        <w:t xml:space="preserve"> of micropollutants to</w:t>
      </w:r>
      <w:r w:rsidR="00FA6E31" w:rsidRPr="00E3593C">
        <w:t xml:space="preserve">  wastewater pollution</w:t>
      </w:r>
      <w:r w:rsidR="00211601" w:rsidRPr="00E3593C">
        <w:t>,</w:t>
      </w:r>
      <w:r w:rsidR="00FA6E31" w:rsidRPr="00E3593C">
        <w:t xml:space="preserve"> it will be difficult for producers to substitute their human medicines for greener products</w:t>
      </w:r>
      <w:r w:rsidR="00FA6E31" w:rsidRPr="009473F3">
        <w:t>,</w:t>
      </w:r>
      <w:r w:rsidR="00FA6E31" w:rsidRPr="009241BD">
        <w:t xml:space="preserve"> the EPR obligation</w:t>
      </w:r>
      <w:r w:rsidR="00EF4BB9">
        <w:t>s</w:t>
      </w:r>
      <w:r w:rsidR="00FA6E31" w:rsidRPr="009241BD">
        <w:t xml:space="preserve"> may risk the access of patients to medicines</w:t>
      </w:r>
      <w:r w:rsidR="00B11CE5" w:rsidRPr="009241BD">
        <w:t xml:space="preserve">, and the Directive imposes costly obligations on producers of human medicines and cosmetic products and not to other </w:t>
      </w:r>
      <w:r w:rsidR="00B11CE5" w:rsidRPr="009241BD">
        <w:rPr>
          <w:rStyle w:val="Heading1Char"/>
        </w:rPr>
        <w:t>important contributors of micropollutants to wastewaters.</w:t>
      </w:r>
    </w:p>
    <w:p w14:paraId="04D4B5BD" w14:textId="77777777" w:rsidR="008F6B22" w:rsidRPr="00D632AC" w:rsidRDefault="003B23E7" w:rsidP="009E0916">
      <w:pPr>
        <w:pStyle w:val="Heading2"/>
        <w:jc w:val="both"/>
        <w:rPr>
          <w:b/>
          <w:bCs/>
        </w:rPr>
      </w:pPr>
      <w:r w:rsidRPr="00D632AC">
        <w:rPr>
          <w:b/>
          <w:bCs/>
        </w:rPr>
        <w:t>The UWWTD Violates the EU Polluter</w:t>
      </w:r>
      <w:r w:rsidR="00C40EDC">
        <w:rPr>
          <w:b/>
          <w:bCs/>
        </w:rPr>
        <w:t xml:space="preserve"> </w:t>
      </w:r>
      <w:r w:rsidRPr="00D632AC">
        <w:rPr>
          <w:b/>
          <w:bCs/>
        </w:rPr>
        <w:t>Pays Principl</w:t>
      </w:r>
      <w:r w:rsidR="008F6B22" w:rsidRPr="00D632AC">
        <w:rPr>
          <w:b/>
          <w:bCs/>
        </w:rPr>
        <w:t>e</w:t>
      </w:r>
    </w:p>
    <w:p w14:paraId="6F4CB3BA" w14:textId="3585D143" w:rsidR="008F6B22" w:rsidRPr="00D632AC" w:rsidRDefault="00B07DAB" w:rsidP="009E0916">
      <w:pPr>
        <w:pStyle w:val="BodyText"/>
        <w:jc w:val="both"/>
        <w:rPr>
          <w:rFonts w:cstheme="minorHAnsi"/>
        </w:rPr>
      </w:pPr>
      <w:r>
        <w:rPr>
          <w:rFonts w:cstheme="minorHAnsi"/>
        </w:rPr>
        <w:t>There are strong arguments to claim that t</w:t>
      </w:r>
      <w:r w:rsidR="008F6B22" w:rsidRPr="00D632AC">
        <w:rPr>
          <w:rFonts w:cstheme="minorHAnsi"/>
        </w:rPr>
        <w:t xml:space="preserve">he </w:t>
      </w:r>
      <w:r w:rsidR="003B23E7" w:rsidRPr="00D632AC">
        <w:rPr>
          <w:rFonts w:cstheme="minorHAnsi"/>
        </w:rPr>
        <w:t>EPR obligations that the UWWTD imposes on producers of human medicines violate the EU polluter</w:t>
      </w:r>
      <w:r w:rsidR="00C40EDC">
        <w:rPr>
          <w:rFonts w:cstheme="minorHAnsi"/>
        </w:rPr>
        <w:t xml:space="preserve"> </w:t>
      </w:r>
      <w:r w:rsidR="003B23E7" w:rsidRPr="00D632AC">
        <w:rPr>
          <w:rFonts w:cstheme="minorHAnsi"/>
        </w:rPr>
        <w:t xml:space="preserve">pays principle because </w:t>
      </w:r>
      <w:r>
        <w:rPr>
          <w:rFonts w:cstheme="minorHAnsi"/>
        </w:rPr>
        <w:t xml:space="preserve">they </w:t>
      </w:r>
      <w:r w:rsidR="003B23E7" w:rsidRPr="00D632AC">
        <w:rPr>
          <w:rFonts w:cstheme="minorHAnsi"/>
        </w:rPr>
        <w:t>will require</w:t>
      </w:r>
      <w:r w:rsidR="00EF4BB9">
        <w:rPr>
          <w:rFonts w:cstheme="minorHAnsi"/>
        </w:rPr>
        <w:t xml:space="preserve"> such </w:t>
      </w:r>
      <w:r w:rsidR="003B23E7" w:rsidRPr="00D632AC">
        <w:rPr>
          <w:rFonts w:cstheme="minorHAnsi"/>
        </w:rPr>
        <w:t>producers to pay significantly more th</w:t>
      </w:r>
      <w:r w:rsidR="007E4256" w:rsidRPr="00D632AC">
        <w:rPr>
          <w:rFonts w:cstheme="minorHAnsi"/>
        </w:rPr>
        <w:t>an the costs of the quaternary treatment of the micropollutants in wastewaters that result from their products</w:t>
      </w:r>
      <w:r w:rsidR="005662F9" w:rsidRPr="00D632AC">
        <w:rPr>
          <w:rFonts w:cstheme="minorHAnsi"/>
        </w:rPr>
        <w:t>,</w:t>
      </w:r>
      <w:r w:rsidR="00C47768" w:rsidRPr="00D632AC">
        <w:rPr>
          <w:rFonts w:cstheme="minorHAnsi"/>
        </w:rPr>
        <w:t xml:space="preserve"> and </w:t>
      </w:r>
      <w:r w:rsidR="00EF4BB9">
        <w:rPr>
          <w:rFonts w:cstheme="minorHAnsi"/>
        </w:rPr>
        <w:t>the obligations do not</w:t>
      </w:r>
      <w:r w:rsidR="00C47768" w:rsidRPr="00D632AC">
        <w:rPr>
          <w:rFonts w:cstheme="minorHAnsi"/>
        </w:rPr>
        <w:t xml:space="preserve"> </w:t>
      </w:r>
      <w:proofErr w:type="gramStart"/>
      <w:r w:rsidR="00C47768" w:rsidRPr="00D632AC">
        <w:rPr>
          <w:rFonts w:cstheme="minorHAnsi"/>
        </w:rPr>
        <w:t>take in</w:t>
      </w:r>
      <w:r w:rsidR="005662F9" w:rsidRPr="00D632AC">
        <w:rPr>
          <w:rFonts w:cstheme="minorHAnsi"/>
        </w:rPr>
        <w:t>to</w:t>
      </w:r>
      <w:r w:rsidR="00C47768" w:rsidRPr="00D632AC">
        <w:rPr>
          <w:rFonts w:cstheme="minorHAnsi"/>
        </w:rPr>
        <w:t xml:space="preserve"> account</w:t>
      </w:r>
      <w:proofErr w:type="gramEnd"/>
      <w:r w:rsidR="00C47768" w:rsidRPr="00D632AC">
        <w:rPr>
          <w:rFonts w:cstheme="minorHAnsi"/>
        </w:rPr>
        <w:t xml:space="preserve"> the contribution to micropollutants of other product sectors</w:t>
      </w:r>
      <w:r w:rsidR="007E4256" w:rsidRPr="00D632AC">
        <w:rPr>
          <w:rFonts w:cstheme="minorHAnsi"/>
        </w:rPr>
        <w:t xml:space="preserve">.  </w:t>
      </w:r>
    </w:p>
    <w:p w14:paraId="42D3BF11" w14:textId="152A99EC" w:rsidR="00B07DAB" w:rsidRDefault="007E4256" w:rsidP="009E0916">
      <w:pPr>
        <w:pStyle w:val="BodyText"/>
        <w:jc w:val="both"/>
        <w:rPr>
          <w:rFonts w:cstheme="minorHAnsi"/>
        </w:rPr>
      </w:pPr>
      <w:r w:rsidRPr="00D632AC">
        <w:rPr>
          <w:rFonts w:cstheme="minorHAnsi"/>
        </w:rPr>
        <w:t>The polluter</w:t>
      </w:r>
      <w:r w:rsidR="00C40EDC">
        <w:rPr>
          <w:rFonts w:cstheme="minorHAnsi"/>
        </w:rPr>
        <w:t xml:space="preserve"> </w:t>
      </w:r>
      <w:r w:rsidR="005662F9" w:rsidRPr="00D632AC">
        <w:rPr>
          <w:rFonts w:cstheme="minorHAnsi"/>
        </w:rPr>
        <w:t>pays</w:t>
      </w:r>
      <w:r w:rsidRPr="00D632AC">
        <w:rPr>
          <w:rFonts w:cstheme="minorHAnsi"/>
        </w:rPr>
        <w:t xml:space="preserve"> principle is a basic principle of EU environmental law.  </w:t>
      </w:r>
      <w:r w:rsidR="008F6B22" w:rsidRPr="00D632AC">
        <w:rPr>
          <w:rFonts w:cstheme="minorHAnsi"/>
        </w:rPr>
        <w:t xml:space="preserve">Article 191(2) of </w:t>
      </w:r>
      <w:r w:rsidR="00A20A3E">
        <w:rPr>
          <w:rFonts w:cstheme="minorHAnsi"/>
        </w:rPr>
        <w:t>the TFEU</w:t>
      </w:r>
      <w:r w:rsidR="008F6B22" w:rsidRPr="00D632AC">
        <w:rPr>
          <w:rFonts w:cstheme="minorHAnsi"/>
        </w:rPr>
        <w:t xml:space="preserve"> states that “Union policy on the environment </w:t>
      </w:r>
      <w:r w:rsidR="00390757">
        <w:rPr>
          <w:rFonts w:cstheme="minorHAnsi"/>
        </w:rPr>
        <w:t>[</w:t>
      </w:r>
      <w:r w:rsidR="008F6B22" w:rsidRPr="00D632AC">
        <w:rPr>
          <w:rFonts w:cstheme="minorHAnsi"/>
        </w:rPr>
        <w:t>…</w:t>
      </w:r>
      <w:r w:rsidR="00390757">
        <w:rPr>
          <w:rFonts w:cstheme="minorHAnsi"/>
        </w:rPr>
        <w:t>]</w:t>
      </w:r>
      <w:r w:rsidR="008F6B22" w:rsidRPr="00D632AC">
        <w:rPr>
          <w:rFonts w:cstheme="minorHAnsi"/>
        </w:rPr>
        <w:t xml:space="preserve"> shall be based on the</w:t>
      </w:r>
      <w:r w:rsidR="00256756" w:rsidRPr="00D632AC">
        <w:rPr>
          <w:rFonts w:cstheme="minorHAnsi"/>
        </w:rPr>
        <w:t xml:space="preserve"> […] </w:t>
      </w:r>
      <w:r w:rsidR="008F6B22" w:rsidRPr="00D632AC">
        <w:rPr>
          <w:rFonts w:cstheme="minorHAnsi"/>
        </w:rPr>
        <w:t xml:space="preserve"> principles that </w:t>
      </w:r>
      <w:r w:rsidR="00256756" w:rsidRPr="00390757">
        <w:rPr>
          <w:rFonts w:cstheme="minorHAnsi"/>
        </w:rPr>
        <w:t>[…]</w:t>
      </w:r>
      <w:r w:rsidR="008F6B22" w:rsidRPr="00D632AC">
        <w:rPr>
          <w:rFonts w:cstheme="minorHAnsi"/>
        </w:rPr>
        <w:t xml:space="preserve"> </w:t>
      </w:r>
      <w:r w:rsidR="008F6B22" w:rsidRPr="00390757">
        <w:rPr>
          <w:rFonts w:cstheme="minorHAnsi"/>
          <w:u w:val="single"/>
        </w:rPr>
        <w:t>the polluter should pay</w:t>
      </w:r>
      <w:r w:rsidR="00256756" w:rsidRPr="00D632AC">
        <w:rPr>
          <w:rFonts w:cstheme="minorHAnsi"/>
        </w:rPr>
        <w:t>”</w:t>
      </w:r>
      <w:r w:rsidR="00ED7891">
        <w:rPr>
          <w:rFonts w:cstheme="minorHAnsi"/>
        </w:rPr>
        <w:t xml:space="preserve"> (emphasis added).</w:t>
      </w:r>
      <w:r w:rsidR="00256756" w:rsidRPr="00D632AC">
        <w:rPr>
          <w:rStyle w:val="FootnoteReference"/>
          <w:rFonts w:cstheme="minorHAnsi"/>
        </w:rPr>
        <w:footnoteReference w:id="2"/>
      </w:r>
      <w:r w:rsidR="008F6B22" w:rsidRPr="00D632AC">
        <w:rPr>
          <w:rFonts w:cstheme="minorHAnsi"/>
        </w:rPr>
        <w:t xml:space="preserve"> </w:t>
      </w:r>
      <w:r w:rsidR="00390757">
        <w:rPr>
          <w:rFonts w:cstheme="minorHAnsi"/>
        </w:rPr>
        <w:t xml:space="preserve"> </w:t>
      </w:r>
      <w:r w:rsidR="00256756" w:rsidRPr="00D632AC">
        <w:rPr>
          <w:rFonts w:cstheme="minorHAnsi"/>
        </w:rPr>
        <w:t xml:space="preserve">As explained by the European Court of Auditors, the </w:t>
      </w:r>
      <w:r w:rsidR="008F6B22" w:rsidRPr="00D632AC">
        <w:rPr>
          <w:rFonts w:cstheme="minorHAnsi"/>
        </w:rPr>
        <w:t xml:space="preserve">application of </w:t>
      </w:r>
      <w:r w:rsidR="00256756" w:rsidRPr="00D632AC">
        <w:rPr>
          <w:rFonts w:cstheme="minorHAnsi"/>
        </w:rPr>
        <w:t>the polluter</w:t>
      </w:r>
      <w:r w:rsidR="00C40EDC">
        <w:rPr>
          <w:rFonts w:cstheme="minorHAnsi"/>
        </w:rPr>
        <w:t xml:space="preserve"> </w:t>
      </w:r>
      <w:r w:rsidR="00256756" w:rsidRPr="00D632AC">
        <w:rPr>
          <w:rFonts w:cstheme="minorHAnsi"/>
        </w:rPr>
        <w:t>pays principle</w:t>
      </w:r>
      <w:r w:rsidR="008F6B22" w:rsidRPr="00D632AC">
        <w:rPr>
          <w:rFonts w:cstheme="minorHAnsi"/>
        </w:rPr>
        <w:t xml:space="preserve"> means that “polluters</w:t>
      </w:r>
      <w:r w:rsidR="008F6B22" w:rsidRPr="009241BD">
        <w:rPr>
          <w:rFonts w:cstheme="minorHAnsi"/>
        </w:rPr>
        <w:t xml:space="preserve"> </w:t>
      </w:r>
      <w:r w:rsidR="008F6B22" w:rsidRPr="00D632AC">
        <w:rPr>
          <w:rFonts w:cstheme="minorHAnsi"/>
          <w:u w:val="single"/>
        </w:rPr>
        <w:t>bear the costs of their pollution</w:t>
      </w:r>
      <w:r w:rsidR="008F6B22" w:rsidRPr="00D632AC">
        <w:rPr>
          <w:rFonts w:cstheme="minorHAnsi"/>
        </w:rPr>
        <w:t xml:space="preserve"> including the cost of measures taken to prevent, control and remedy pollution and the costs it imposes on society”</w:t>
      </w:r>
      <w:r w:rsidR="00256756" w:rsidRPr="00D632AC">
        <w:rPr>
          <w:rFonts w:cstheme="minorHAnsi"/>
        </w:rPr>
        <w:t xml:space="preserve"> (emphasis added).</w:t>
      </w:r>
      <w:r w:rsidR="008F6B22" w:rsidRPr="00D632AC">
        <w:rPr>
          <w:rStyle w:val="FootnoteReference"/>
          <w:rFonts w:cstheme="minorHAnsi"/>
        </w:rPr>
        <w:footnoteReference w:id="3"/>
      </w:r>
      <w:r w:rsidR="006571B8">
        <w:rPr>
          <w:rFonts w:cstheme="minorHAnsi"/>
        </w:rPr>
        <w:t xml:space="preserve">  </w:t>
      </w:r>
    </w:p>
    <w:p w14:paraId="6C97DCE1" w14:textId="7DA7096B" w:rsidR="00256756" w:rsidRPr="00D632AC" w:rsidRDefault="006571B8" w:rsidP="009E0916">
      <w:pPr>
        <w:pStyle w:val="BodyText"/>
        <w:jc w:val="both"/>
        <w:rPr>
          <w:rFonts w:cstheme="minorHAnsi"/>
        </w:rPr>
      </w:pPr>
      <w:r w:rsidRPr="00E3593C">
        <w:rPr>
          <w:rFonts w:cstheme="minorHAnsi"/>
        </w:rPr>
        <w:t xml:space="preserve">The Court </w:t>
      </w:r>
      <w:r w:rsidR="00A20A3E" w:rsidRPr="00E3593C">
        <w:rPr>
          <w:rFonts w:cstheme="minorHAnsi"/>
        </w:rPr>
        <w:t xml:space="preserve">of Justice of the European Union (“CJEU”) </w:t>
      </w:r>
      <w:r w:rsidR="00B07DAB" w:rsidRPr="00E3593C">
        <w:rPr>
          <w:rFonts w:cstheme="minorHAnsi"/>
        </w:rPr>
        <w:t>has repeatedly emphasized that the polluter pays principle requires making sure that polluters pay for the costs of their pollution, and not more.</w:t>
      </w:r>
      <w:r w:rsidR="00B07DAB">
        <w:rPr>
          <w:rFonts w:cstheme="minorHAnsi"/>
        </w:rPr>
        <w:t xml:space="preserve">  For example, it has</w:t>
      </w:r>
      <w:r>
        <w:rPr>
          <w:rFonts w:cstheme="minorHAnsi"/>
        </w:rPr>
        <w:t xml:space="preserve"> held that “in accordance with the ‘polluter pays’ principle </w:t>
      </w:r>
      <w:r>
        <w:rPr>
          <w:rFonts w:cstheme="minorHAnsi"/>
        </w:rPr>
        <w:lastRenderedPageBreak/>
        <w:t>[an obligation] is imposed on operators only because of their contribution to the creation of pollution</w:t>
      </w:r>
      <w:r w:rsidR="00A50CF2">
        <w:rPr>
          <w:rFonts w:cstheme="minorHAnsi"/>
        </w:rPr>
        <w:t>.</w:t>
      </w:r>
      <w:r>
        <w:rPr>
          <w:rFonts w:cstheme="minorHAnsi"/>
        </w:rPr>
        <w:t>”</w:t>
      </w:r>
      <w:r>
        <w:rPr>
          <w:rStyle w:val="FootnoteReference"/>
          <w:rFonts w:cstheme="minorHAnsi"/>
        </w:rPr>
        <w:footnoteReference w:id="4"/>
      </w:r>
    </w:p>
    <w:p w14:paraId="7EF2ADBE" w14:textId="364BA8AE" w:rsidR="00B07DAB" w:rsidRDefault="00B07DAB" w:rsidP="009E0916">
      <w:pPr>
        <w:pStyle w:val="BodyText"/>
        <w:jc w:val="both"/>
        <w:rPr>
          <w:rFonts w:cstheme="minorHAnsi"/>
        </w:rPr>
      </w:pPr>
      <w:r>
        <w:rPr>
          <w:rFonts w:cstheme="minorHAnsi"/>
        </w:rPr>
        <w:t>I</w:t>
      </w:r>
      <w:r w:rsidR="000832BD" w:rsidRPr="00D632AC">
        <w:rPr>
          <w:rFonts w:cstheme="minorHAnsi"/>
        </w:rPr>
        <w:t xml:space="preserve">n </w:t>
      </w:r>
      <w:proofErr w:type="spellStart"/>
      <w:r w:rsidR="000832BD" w:rsidRPr="00D632AC">
        <w:rPr>
          <w:rStyle w:val="FootnoteReference"/>
          <w:i/>
          <w:iCs/>
          <w:vertAlign w:val="baseline"/>
        </w:rPr>
        <w:t>Standley</w:t>
      </w:r>
      <w:proofErr w:type="spellEnd"/>
      <w:r w:rsidR="000832BD" w:rsidRPr="00D632AC">
        <w:rPr>
          <w:rStyle w:val="FootnoteReference"/>
          <w:i/>
          <w:iCs/>
          <w:vertAlign w:val="baseline"/>
        </w:rPr>
        <w:t xml:space="preserve"> and Others</w:t>
      </w:r>
      <w:r w:rsidR="000832BD" w:rsidRPr="00D632AC">
        <w:rPr>
          <w:i/>
          <w:iCs/>
        </w:rPr>
        <w:t xml:space="preserve">, </w:t>
      </w:r>
      <w:r w:rsidR="000832BD" w:rsidRPr="00D632AC">
        <w:t>the CJEU</w:t>
      </w:r>
      <w:r>
        <w:t xml:space="preserve"> also</w:t>
      </w:r>
      <w:r w:rsidR="000832BD" w:rsidRPr="00D632AC">
        <w:t xml:space="preserve"> held that authorities must not make polluters </w:t>
      </w:r>
      <w:r w:rsidR="008F6B22" w:rsidRPr="00D632AC">
        <w:rPr>
          <w:rFonts w:cstheme="minorHAnsi"/>
        </w:rPr>
        <w:t>“take on burdens</w:t>
      </w:r>
      <w:r w:rsidR="008F6B22" w:rsidRPr="00D632AC">
        <w:rPr>
          <w:rFonts w:cstheme="minorHAnsi"/>
          <w:i/>
          <w:iCs/>
        </w:rPr>
        <w:t xml:space="preserve"> </w:t>
      </w:r>
      <w:r w:rsidR="008F6B22" w:rsidRPr="00D632AC">
        <w:rPr>
          <w:rFonts w:cstheme="minorHAnsi"/>
        </w:rPr>
        <w:t>for the elimination of pollution to which they have not contributed</w:t>
      </w:r>
      <w:r w:rsidR="000832BD" w:rsidRPr="00D632AC">
        <w:rPr>
          <w:rFonts w:cstheme="minorHAnsi"/>
        </w:rPr>
        <w:t>.”</w:t>
      </w:r>
      <w:r w:rsidR="008F6B22" w:rsidRPr="00D632AC">
        <w:rPr>
          <w:rStyle w:val="FootnoteReference"/>
          <w:rFonts w:cstheme="minorHAnsi"/>
        </w:rPr>
        <w:footnoteReference w:id="5"/>
      </w:r>
      <w:r w:rsidR="008F6B22" w:rsidRPr="00D632AC">
        <w:rPr>
          <w:rFonts w:cstheme="minorHAnsi"/>
        </w:rPr>
        <w:t xml:space="preserve"> </w:t>
      </w:r>
      <w:r w:rsidR="00DF47FE">
        <w:rPr>
          <w:rFonts w:cstheme="minorHAnsi"/>
        </w:rPr>
        <w:t xml:space="preserve"> </w:t>
      </w:r>
      <w:r>
        <w:rPr>
          <w:rFonts w:cstheme="minorHAnsi"/>
        </w:rPr>
        <w:t>A</w:t>
      </w:r>
      <w:r w:rsidR="000832BD" w:rsidRPr="00D632AC">
        <w:rPr>
          <w:rFonts w:cstheme="minorHAnsi"/>
        </w:rPr>
        <w:t>uthorities must</w:t>
      </w:r>
      <w:r w:rsidR="008F6B22" w:rsidRPr="00D632AC">
        <w:rPr>
          <w:rFonts w:cstheme="minorHAnsi"/>
        </w:rPr>
        <w:t xml:space="preserve"> “take into account other sources of pollution” and “are not to impose </w:t>
      </w:r>
      <w:r w:rsidR="00390757">
        <w:rPr>
          <w:rFonts w:cstheme="minorHAnsi"/>
        </w:rPr>
        <w:t>[</w:t>
      </w:r>
      <w:r w:rsidR="008F6B22" w:rsidRPr="00D632AC">
        <w:rPr>
          <w:rFonts w:cstheme="minorHAnsi"/>
        </w:rPr>
        <w:t>…</w:t>
      </w:r>
      <w:r w:rsidR="00390757">
        <w:rPr>
          <w:rFonts w:cstheme="minorHAnsi"/>
        </w:rPr>
        <w:t>]</w:t>
      </w:r>
      <w:r w:rsidR="008F6B22" w:rsidRPr="00D632AC">
        <w:rPr>
          <w:rFonts w:cstheme="minorHAnsi"/>
        </w:rPr>
        <w:t xml:space="preserve"> costs of eliminating pollution that are unnecessary</w:t>
      </w:r>
      <w:r w:rsidR="000832BD" w:rsidRPr="00D632AC">
        <w:rPr>
          <w:rFonts w:cstheme="minorHAnsi"/>
        </w:rPr>
        <w:t>.</w:t>
      </w:r>
      <w:r w:rsidR="008F6B22" w:rsidRPr="00D632AC">
        <w:rPr>
          <w:rFonts w:cstheme="minorHAnsi"/>
        </w:rPr>
        <w:t>”</w:t>
      </w:r>
      <w:r w:rsidR="008F6B22" w:rsidRPr="00D632AC">
        <w:rPr>
          <w:rStyle w:val="FootnoteReference"/>
          <w:rFonts w:cstheme="minorHAnsi"/>
        </w:rPr>
        <w:footnoteReference w:id="6"/>
      </w:r>
      <w:r w:rsidR="008F6B22" w:rsidRPr="00D632AC">
        <w:rPr>
          <w:rFonts w:cstheme="minorHAnsi"/>
        </w:rPr>
        <w:t xml:space="preserve">  </w:t>
      </w:r>
    </w:p>
    <w:p w14:paraId="19019CC0" w14:textId="02E6F7F8" w:rsidR="000832BD" w:rsidRPr="00D632AC" w:rsidRDefault="00F12369" w:rsidP="009E0916">
      <w:pPr>
        <w:pStyle w:val="BodyText"/>
        <w:jc w:val="both"/>
        <w:rPr>
          <w:rFonts w:cstheme="minorHAnsi"/>
        </w:rPr>
      </w:pPr>
      <w:r w:rsidRPr="00D632AC">
        <w:rPr>
          <w:rFonts w:cstheme="minorHAnsi"/>
        </w:rPr>
        <w:t>By making producers of human medicines (and cosmetic products) pay for “at least 80% of the full costs” of the quaternary treatment of wastewaters, t</w:t>
      </w:r>
      <w:r w:rsidR="0066375E" w:rsidRPr="00D632AC">
        <w:rPr>
          <w:rFonts w:cstheme="minorHAnsi"/>
        </w:rPr>
        <w:t>he UWWTD violates the polluter</w:t>
      </w:r>
      <w:r w:rsidR="00C40EDC">
        <w:rPr>
          <w:rFonts w:cstheme="minorHAnsi"/>
        </w:rPr>
        <w:t xml:space="preserve"> </w:t>
      </w:r>
      <w:r w:rsidR="009241BD">
        <w:rPr>
          <w:rFonts w:cstheme="minorHAnsi"/>
        </w:rPr>
        <w:t>p</w:t>
      </w:r>
      <w:r w:rsidR="0066375E" w:rsidRPr="00D632AC">
        <w:rPr>
          <w:rFonts w:cstheme="minorHAnsi"/>
        </w:rPr>
        <w:t>ays principle</w:t>
      </w:r>
      <w:r w:rsidRPr="00D632AC">
        <w:rPr>
          <w:rFonts w:cstheme="minorHAnsi"/>
        </w:rPr>
        <w:t xml:space="preserve"> as</w:t>
      </w:r>
      <w:r w:rsidR="0066375E" w:rsidRPr="00D632AC">
        <w:rPr>
          <w:rFonts w:cstheme="minorHAnsi"/>
        </w:rPr>
        <w:t xml:space="preserve"> it makes producers of human medicines pay for significantly more than the elimination of micropollutants to which they contribute</w:t>
      </w:r>
      <w:r w:rsidR="00F13959">
        <w:rPr>
          <w:rFonts w:cstheme="minorHAnsi"/>
        </w:rPr>
        <w:t>,</w:t>
      </w:r>
      <w:r w:rsidRPr="00D632AC">
        <w:rPr>
          <w:rFonts w:cstheme="minorHAnsi"/>
        </w:rPr>
        <w:t xml:space="preserve"> without </w:t>
      </w:r>
      <w:proofErr w:type="gramStart"/>
      <w:r w:rsidRPr="00D632AC">
        <w:rPr>
          <w:rFonts w:cstheme="minorHAnsi"/>
        </w:rPr>
        <w:t>taking</w:t>
      </w:r>
      <w:r w:rsidR="0066375E" w:rsidRPr="00D632AC">
        <w:rPr>
          <w:rFonts w:cstheme="minorHAnsi"/>
        </w:rPr>
        <w:t xml:space="preserve"> into account</w:t>
      </w:r>
      <w:proofErr w:type="gramEnd"/>
      <w:r w:rsidR="0066375E" w:rsidRPr="00D632AC">
        <w:rPr>
          <w:rFonts w:cstheme="minorHAnsi"/>
        </w:rPr>
        <w:t xml:space="preserve"> the sources of micropollutants from other categories of producers</w:t>
      </w:r>
      <w:r w:rsidR="00F13959">
        <w:rPr>
          <w:rFonts w:cstheme="minorHAnsi"/>
        </w:rPr>
        <w:t xml:space="preserve"> and adequately distributing the burden among covered producers.</w:t>
      </w:r>
      <w:r w:rsidR="00B07DAB">
        <w:rPr>
          <w:rFonts w:cstheme="minorHAnsi"/>
        </w:rPr>
        <w:t xml:space="preserve">  We provide further details.</w:t>
      </w:r>
    </w:p>
    <w:p w14:paraId="6DE732B6" w14:textId="77777777" w:rsidR="00A32154" w:rsidRPr="009241BD" w:rsidRDefault="00A32154" w:rsidP="009E0916">
      <w:pPr>
        <w:pStyle w:val="Heading3"/>
        <w:jc w:val="both"/>
        <w:rPr>
          <w:b/>
          <w:bCs/>
        </w:rPr>
      </w:pPr>
      <w:r w:rsidRPr="009241BD">
        <w:rPr>
          <w:b/>
          <w:bCs/>
        </w:rPr>
        <w:t xml:space="preserve">The UWWTD Ignores the Contribution of </w:t>
      </w:r>
      <w:r w:rsidR="005662F9" w:rsidRPr="00D632AC">
        <w:rPr>
          <w:b/>
          <w:bCs/>
        </w:rPr>
        <w:t>O</w:t>
      </w:r>
      <w:r w:rsidRPr="009241BD">
        <w:rPr>
          <w:b/>
          <w:bCs/>
        </w:rPr>
        <w:t>ther Sectors to Micropollutants in Waste</w:t>
      </w:r>
      <w:r w:rsidR="005662F9" w:rsidRPr="00D632AC">
        <w:rPr>
          <w:b/>
          <w:bCs/>
        </w:rPr>
        <w:t>water</w:t>
      </w:r>
    </w:p>
    <w:p w14:paraId="59915C76" w14:textId="7F49F81E" w:rsidR="00604E08" w:rsidRPr="00D632AC" w:rsidRDefault="00B07DAB" w:rsidP="009E0916">
      <w:pPr>
        <w:pStyle w:val="BodyText"/>
        <w:jc w:val="both"/>
        <w:rPr>
          <w:rFonts w:cstheme="minorHAnsi"/>
        </w:rPr>
      </w:pPr>
      <w:r>
        <w:rPr>
          <w:rFonts w:cstheme="minorHAnsi"/>
        </w:rPr>
        <w:t xml:space="preserve">The UWWTD fails to properly distribute the burden of </w:t>
      </w:r>
      <w:r w:rsidR="00ED7891">
        <w:rPr>
          <w:rFonts w:cstheme="minorHAnsi"/>
        </w:rPr>
        <w:t>removing</w:t>
      </w:r>
      <w:r>
        <w:rPr>
          <w:rFonts w:cstheme="minorHAnsi"/>
        </w:rPr>
        <w:t xml:space="preserve"> micropollutants.  </w:t>
      </w:r>
      <w:r w:rsidR="00A32154" w:rsidRPr="00D632AC">
        <w:rPr>
          <w:rFonts w:cstheme="minorHAnsi"/>
        </w:rPr>
        <w:t>W</w:t>
      </w:r>
      <w:r w:rsidR="00F26C39" w:rsidRPr="00D632AC">
        <w:rPr>
          <w:rFonts w:cstheme="minorHAnsi"/>
        </w:rPr>
        <w:t xml:space="preserve">hile the UWWTD and the Impact Assessment and Feasibility Study that accompanied the Commission’s legislative proposal partially acknowledge the </w:t>
      </w:r>
      <w:r w:rsidR="00AF2450" w:rsidRPr="00D632AC">
        <w:rPr>
          <w:rFonts w:cstheme="minorHAnsi"/>
        </w:rPr>
        <w:t xml:space="preserve">contribution to micropollutants in wastewaters </w:t>
      </w:r>
      <w:r w:rsidR="00F26C39" w:rsidRPr="00D632AC">
        <w:rPr>
          <w:rFonts w:cstheme="minorHAnsi"/>
        </w:rPr>
        <w:t xml:space="preserve">of other industrial sectors, the Directive </w:t>
      </w:r>
      <w:r w:rsidR="00604E08" w:rsidRPr="00D632AC">
        <w:rPr>
          <w:rFonts w:cstheme="minorHAnsi"/>
        </w:rPr>
        <w:t xml:space="preserve">imposes the obligation to pay </w:t>
      </w:r>
      <w:r w:rsidR="00907A00" w:rsidRPr="00D632AC">
        <w:rPr>
          <w:rFonts w:cstheme="minorHAnsi"/>
        </w:rPr>
        <w:t>at least</w:t>
      </w:r>
      <w:r w:rsidR="00604E08" w:rsidRPr="00D632AC">
        <w:rPr>
          <w:rFonts w:cstheme="minorHAnsi"/>
        </w:rPr>
        <w:t xml:space="preserve"> 80% of the costs of quaternary treatment only on producers of human medicines and cosmetic products. </w:t>
      </w:r>
      <w:r w:rsidR="00F13959">
        <w:rPr>
          <w:rFonts w:cstheme="minorHAnsi"/>
        </w:rPr>
        <w:t xml:space="preserve"> </w:t>
      </w:r>
    </w:p>
    <w:p w14:paraId="38950DE2" w14:textId="2AED8F30" w:rsidR="00604E08" w:rsidRPr="00D632AC" w:rsidRDefault="00604E08" w:rsidP="009E0916">
      <w:pPr>
        <w:pStyle w:val="BodyText"/>
        <w:spacing w:after="0"/>
        <w:jc w:val="both"/>
        <w:rPr>
          <w:rFonts w:cstheme="minorHAnsi"/>
        </w:rPr>
      </w:pPr>
      <w:r w:rsidRPr="00D632AC">
        <w:rPr>
          <w:rFonts w:cstheme="minorHAnsi"/>
        </w:rPr>
        <w:t xml:space="preserve">Recital 20 </w:t>
      </w:r>
      <w:r w:rsidR="00F13959">
        <w:rPr>
          <w:rFonts w:cstheme="minorHAnsi"/>
        </w:rPr>
        <w:t xml:space="preserve">of the Directive </w:t>
      </w:r>
      <w:r w:rsidRPr="00D632AC">
        <w:rPr>
          <w:rFonts w:cstheme="minorHAnsi"/>
        </w:rPr>
        <w:t>justifies the imposition of the EPR obligations on producers of human medicines and cosmetic products on grounds that “[p]</w:t>
      </w:r>
      <w:proofErr w:type="spellStart"/>
      <w:r w:rsidRPr="00D632AC">
        <w:rPr>
          <w:rFonts w:cstheme="minorHAnsi"/>
        </w:rPr>
        <w:t>harmaceuticals</w:t>
      </w:r>
      <w:proofErr w:type="spellEnd"/>
      <w:r w:rsidRPr="00D632AC">
        <w:rPr>
          <w:rFonts w:cstheme="minorHAnsi"/>
        </w:rPr>
        <w:t xml:space="preserve"> and cosmetic residues currently represent the main sources of micropollutants found in urban wastewater requiring an additional treatment (quaternary treatment).</w:t>
      </w:r>
      <w:r w:rsidR="00AF2450" w:rsidRPr="00D632AC">
        <w:rPr>
          <w:rFonts w:cstheme="minorHAnsi"/>
        </w:rPr>
        <w:t>”  However, the Recital also acknowledges that other product groups may contribut</w:t>
      </w:r>
      <w:r w:rsidR="00033E91" w:rsidRPr="00D632AC">
        <w:rPr>
          <w:rFonts w:cstheme="minorHAnsi"/>
        </w:rPr>
        <w:t>e</w:t>
      </w:r>
      <w:r w:rsidR="00AF2450" w:rsidRPr="00D632AC">
        <w:rPr>
          <w:rFonts w:cstheme="minorHAnsi"/>
        </w:rPr>
        <w:t xml:space="preserve"> to micropollutants in wastewater as it states that “[b]</w:t>
      </w:r>
      <w:proofErr w:type="spellStart"/>
      <w:r w:rsidRPr="00D632AC">
        <w:rPr>
          <w:rFonts w:cstheme="minorHAnsi"/>
        </w:rPr>
        <w:t>ased</w:t>
      </w:r>
      <w:proofErr w:type="spellEnd"/>
      <w:r w:rsidRPr="00D632AC">
        <w:rPr>
          <w:rFonts w:cstheme="minorHAnsi"/>
        </w:rPr>
        <w:t xml:space="preserve"> on the results of the urban wastewater monitoring and the most recent scientific data, the Commission should regularly evaluate whether other industrial sectors should be included in the Extended Producer Responsibility system.</w:t>
      </w:r>
      <w:r w:rsidR="00AF2450" w:rsidRPr="00D632AC">
        <w:rPr>
          <w:rFonts w:cstheme="minorHAnsi"/>
        </w:rPr>
        <w:t xml:space="preserve">”  </w:t>
      </w:r>
      <w:r w:rsidR="00C47768" w:rsidRPr="00D632AC">
        <w:rPr>
          <w:rFonts w:cstheme="minorHAnsi"/>
        </w:rPr>
        <w:t>Moreover</w:t>
      </w:r>
      <w:r w:rsidR="00AF2450" w:rsidRPr="00D632AC">
        <w:rPr>
          <w:rFonts w:cstheme="minorHAnsi"/>
        </w:rPr>
        <w:t>, Recital 28 also acknowledges the contribution of other industrial sectors to micropollutants in wastewaters as it states that “</w:t>
      </w:r>
      <w:r w:rsidR="00051461">
        <w:rPr>
          <w:rFonts w:cstheme="minorHAnsi"/>
        </w:rPr>
        <w:t>[u]</w:t>
      </w:r>
      <w:proofErr w:type="spellStart"/>
      <w:r w:rsidR="00AF2450" w:rsidRPr="00D632AC">
        <w:rPr>
          <w:rFonts w:cstheme="minorHAnsi"/>
        </w:rPr>
        <w:t>rban</w:t>
      </w:r>
      <w:proofErr w:type="spellEnd"/>
      <w:r w:rsidR="00AF2450" w:rsidRPr="00D632AC">
        <w:rPr>
          <w:rFonts w:cstheme="minorHAnsi"/>
        </w:rPr>
        <w:t xml:space="preserve"> wastewater treatment plants also receive </w:t>
      </w:r>
      <w:r w:rsidR="00AF2450" w:rsidRPr="00F13959">
        <w:rPr>
          <w:rFonts w:cstheme="minorHAnsi"/>
          <w:u w:val="single"/>
        </w:rPr>
        <w:t>non-domestic wastewater, including industrial wastewater</w:t>
      </w:r>
      <w:r w:rsidR="00AF2450" w:rsidRPr="00D632AC">
        <w:rPr>
          <w:rFonts w:cstheme="minorHAnsi"/>
        </w:rPr>
        <w:t xml:space="preserve">, which can contain a range of pollutants […] such as […] micropollutants […] This nondomestic wastewater may come from </w:t>
      </w:r>
      <w:r w:rsidR="00AF2450" w:rsidRPr="00F13959">
        <w:rPr>
          <w:rFonts w:cstheme="minorHAnsi"/>
          <w:u w:val="single"/>
        </w:rPr>
        <w:t>industries, or commercial establishments, or hospitals and other medical facilities</w:t>
      </w:r>
      <w:r w:rsidR="00AF2450" w:rsidRPr="00D632AC">
        <w:rPr>
          <w:rFonts w:cstheme="minorHAnsi"/>
        </w:rPr>
        <w:t>, etc</w:t>
      </w:r>
      <w:r w:rsidR="00DC5849">
        <w:rPr>
          <w:rFonts w:cstheme="minorHAnsi"/>
        </w:rPr>
        <w:t>.</w:t>
      </w:r>
      <w:r w:rsidR="00721AFB" w:rsidRPr="00D632AC">
        <w:rPr>
          <w:rFonts w:cstheme="minorHAnsi"/>
        </w:rPr>
        <w:t>”</w:t>
      </w:r>
      <w:r w:rsidR="00F13959">
        <w:rPr>
          <w:rFonts w:cstheme="minorHAnsi"/>
        </w:rPr>
        <w:t xml:space="preserve"> (emphasis added).  </w:t>
      </w:r>
      <w:r w:rsidR="00721AFB" w:rsidRPr="00D632AC">
        <w:rPr>
          <w:rFonts w:cstheme="minorHAnsi"/>
        </w:rPr>
        <w:t xml:space="preserve">  Despite this, the UWWTD imposes the EPR obligations only on producers of human medicines and cosmetic</w:t>
      </w:r>
      <w:r w:rsidR="00C47768" w:rsidRPr="00D632AC">
        <w:rPr>
          <w:rFonts w:cstheme="minorHAnsi"/>
        </w:rPr>
        <w:t xml:space="preserve"> products</w:t>
      </w:r>
      <w:r w:rsidR="00721AFB" w:rsidRPr="00D632AC">
        <w:rPr>
          <w:rFonts w:cstheme="minorHAnsi"/>
        </w:rPr>
        <w:t>.</w:t>
      </w:r>
    </w:p>
    <w:p w14:paraId="494269F9" w14:textId="77777777" w:rsidR="00721AFB" w:rsidRPr="00D632AC" w:rsidRDefault="00721AFB" w:rsidP="009E0916">
      <w:pPr>
        <w:pStyle w:val="BodyText"/>
        <w:spacing w:after="0"/>
        <w:jc w:val="both"/>
        <w:rPr>
          <w:rFonts w:cstheme="minorHAnsi"/>
        </w:rPr>
      </w:pPr>
    </w:p>
    <w:p w14:paraId="13E84B41" w14:textId="207DAF60" w:rsidR="00B45E6B" w:rsidRPr="00D632AC" w:rsidRDefault="00721AFB" w:rsidP="009E0916">
      <w:pPr>
        <w:pStyle w:val="BodyText"/>
        <w:jc w:val="both"/>
        <w:rPr>
          <w:rFonts w:cstheme="minorHAnsi"/>
        </w:rPr>
      </w:pPr>
      <w:r w:rsidRPr="00D632AC">
        <w:rPr>
          <w:rFonts w:cstheme="minorHAnsi"/>
        </w:rPr>
        <w:t xml:space="preserve">This </w:t>
      </w:r>
      <w:r w:rsidR="00C47768" w:rsidRPr="00D632AC">
        <w:rPr>
          <w:rFonts w:cstheme="minorHAnsi"/>
        </w:rPr>
        <w:t xml:space="preserve">sole </w:t>
      </w:r>
      <w:r w:rsidRPr="00D632AC">
        <w:rPr>
          <w:rFonts w:cstheme="minorHAnsi"/>
        </w:rPr>
        <w:t xml:space="preserve">focus on human medicines and cosmetic products </w:t>
      </w:r>
      <w:r w:rsidR="00D07391" w:rsidRPr="00D632AC">
        <w:rPr>
          <w:rFonts w:cstheme="minorHAnsi"/>
        </w:rPr>
        <w:t>without a proper assessment of the impact of other sector</w:t>
      </w:r>
      <w:r w:rsidR="00C47768" w:rsidRPr="00D632AC">
        <w:rPr>
          <w:rFonts w:cstheme="minorHAnsi"/>
        </w:rPr>
        <w:t>s was already evident in</w:t>
      </w:r>
      <w:r w:rsidRPr="00D632AC">
        <w:rPr>
          <w:rFonts w:cstheme="minorHAnsi"/>
        </w:rPr>
        <w:t xml:space="preserve"> the Commission’s Impact Assessment and the Feasibility Study that the Commission contracted to prepare its assessment.  </w:t>
      </w:r>
      <w:r w:rsidR="00D07391" w:rsidRPr="00E3593C">
        <w:rPr>
          <w:rFonts w:cstheme="minorHAnsi"/>
        </w:rPr>
        <w:t>As</w:t>
      </w:r>
      <w:r w:rsidR="0092730B" w:rsidRPr="00E3593C">
        <w:rPr>
          <w:rFonts w:cstheme="minorHAnsi"/>
        </w:rPr>
        <w:t xml:space="preserve"> </w:t>
      </w:r>
      <w:r w:rsidR="00D07391" w:rsidRPr="00E3593C">
        <w:rPr>
          <w:rFonts w:cstheme="minorHAnsi"/>
        </w:rPr>
        <w:t xml:space="preserve">demonstrated by a report prepared by the consultancy Ramboll, the Feasibility Study and Commission’s Impact Assessment focused mostly on studies conducted on micropollutants resulting from human medicines without much consideration </w:t>
      </w:r>
      <w:r w:rsidR="00051461" w:rsidRPr="00E3593C">
        <w:rPr>
          <w:rFonts w:cstheme="minorHAnsi"/>
        </w:rPr>
        <w:t>for</w:t>
      </w:r>
      <w:r w:rsidR="00D07391" w:rsidRPr="00E3593C">
        <w:rPr>
          <w:rFonts w:cstheme="minorHAnsi"/>
        </w:rPr>
        <w:t xml:space="preserve"> other studies that would have also highlighted the significant impact of other product sectors, such as biocides, </w:t>
      </w:r>
      <w:r w:rsidR="00D07391" w:rsidRPr="00E3593C">
        <w:rPr>
          <w:rFonts w:cstheme="minorHAnsi"/>
        </w:rPr>
        <w:lastRenderedPageBreak/>
        <w:t>pesticides and house cleaning products.</w:t>
      </w:r>
      <w:r w:rsidR="00D07391" w:rsidRPr="00E3593C">
        <w:rPr>
          <w:rStyle w:val="FootnoteReference"/>
          <w:rFonts w:cstheme="minorHAnsi"/>
        </w:rPr>
        <w:footnoteReference w:id="7"/>
      </w:r>
      <w:r w:rsidR="00A441F4" w:rsidRPr="00D632AC">
        <w:rPr>
          <w:rFonts w:cstheme="minorHAnsi"/>
        </w:rPr>
        <w:t xml:space="preserve"> </w:t>
      </w:r>
      <w:r w:rsidR="00DB610C" w:rsidRPr="00D632AC">
        <w:rPr>
          <w:rFonts w:cstheme="minorHAnsi"/>
        </w:rPr>
        <w:t xml:space="preserve"> </w:t>
      </w:r>
      <w:r w:rsidR="00A441F4" w:rsidRPr="00D632AC">
        <w:rPr>
          <w:rFonts w:cstheme="minorHAnsi"/>
        </w:rPr>
        <w:t xml:space="preserve">In effect, </w:t>
      </w:r>
      <w:r w:rsidR="00AE7E89" w:rsidRPr="00D632AC">
        <w:rPr>
          <w:rFonts w:cstheme="minorHAnsi"/>
        </w:rPr>
        <w:t>chapter 2.2 of the Feasibility Study acknowledged that its</w:t>
      </w:r>
      <w:r w:rsidR="00A441F4" w:rsidRPr="00D632AC">
        <w:rPr>
          <w:rFonts w:cstheme="minorHAnsi"/>
        </w:rPr>
        <w:t xml:space="preserve"> “study specifications already identified pharmaceuticals for human use as one of the sectors to be covered by this study</w:t>
      </w:r>
      <w:r w:rsidR="00AE7E89" w:rsidRPr="00D632AC">
        <w:rPr>
          <w:rFonts w:cstheme="minorHAnsi"/>
        </w:rPr>
        <w:t>,</w:t>
      </w:r>
      <w:r w:rsidR="00A441F4" w:rsidRPr="00D632AC">
        <w:rPr>
          <w:rFonts w:cstheme="minorHAnsi"/>
        </w:rPr>
        <w:t>”</w:t>
      </w:r>
      <w:r w:rsidR="0092730B" w:rsidRPr="00D632AC">
        <w:rPr>
          <w:rStyle w:val="FootnoteReference"/>
          <w:rFonts w:cstheme="minorHAnsi"/>
        </w:rPr>
        <w:footnoteReference w:id="8"/>
      </w:r>
      <w:r w:rsidR="00AE7E89" w:rsidRPr="00D632AC">
        <w:rPr>
          <w:rFonts w:cstheme="minorHAnsi"/>
        </w:rPr>
        <w:t xml:space="preserve"> and that</w:t>
      </w:r>
      <w:r w:rsidR="00A441F4" w:rsidRPr="00D632AC">
        <w:rPr>
          <w:rFonts w:cstheme="minorHAnsi"/>
        </w:rPr>
        <w:t xml:space="preserve"> “</w:t>
      </w:r>
      <w:r w:rsidR="00AE7E89" w:rsidRPr="00D632AC">
        <w:rPr>
          <w:rFonts w:cstheme="minorHAnsi"/>
        </w:rPr>
        <w:t>[t]</w:t>
      </w:r>
      <w:r w:rsidR="00A441F4" w:rsidRPr="00D632AC">
        <w:rPr>
          <w:rFonts w:cstheme="minorHAnsi"/>
        </w:rPr>
        <w:t>he study defines the approach to identify a second sector (to start with) that would also contribute to the EPR scheme.”</w:t>
      </w:r>
      <w:r w:rsidR="00AE7E89" w:rsidRPr="00D632AC">
        <w:rPr>
          <w:rStyle w:val="FootnoteReference"/>
          <w:rFonts w:cstheme="minorHAnsi"/>
        </w:rPr>
        <w:footnoteReference w:id="9"/>
      </w:r>
      <w:r w:rsidR="00A441F4" w:rsidRPr="00D632AC">
        <w:rPr>
          <w:rFonts w:cstheme="minorHAnsi"/>
        </w:rPr>
        <w:t xml:space="preserve"> </w:t>
      </w:r>
      <w:r w:rsidR="0092730B" w:rsidRPr="00D632AC">
        <w:rPr>
          <w:rFonts w:cstheme="minorHAnsi"/>
        </w:rPr>
        <w:t xml:space="preserve"> </w:t>
      </w:r>
    </w:p>
    <w:p w14:paraId="04BEA610" w14:textId="77777777" w:rsidR="00B21EE7" w:rsidRDefault="0092730B" w:rsidP="009E0916">
      <w:pPr>
        <w:pStyle w:val="BodyText"/>
        <w:jc w:val="both"/>
        <w:rPr>
          <w:rFonts w:cstheme="minorHAnsi"/>
        </w:rPr>
      </w:pPr>
      <w:r w:rsidRPr="00D632AC">
        <w:rPr>
          <w:rFonts w:cstheme="minorHAnsi"/>
        </w:rPr>
        <w:t>Thus, the Commission’s assessment focus</w:t>
      </w:r>
      <w:r w:rsidR="00F13959">
        <w:rPr>
          <w:rFonts w:cstheme="minorHAnsi"/>
        </w:rPr>
        <w:t>ed on the</w:t>
      </w:r>
      <w:r w:rsidR="00B21EE7">
        <w:rPr>
          <w:rFonts w:cstheme="minorHAnsi"/>
        </w:rPr>
        <w:t xml:space="preserve"> micropollutants of the</w:t>
      </w:r>
      <w:r w:rsidR="00F13959">
        <w:rPr>
          <w:rFonts w:cstheme="minorHAnsi"/>
        </w:rPr>
        <w:t xml:space="preserve"> </w:t>
      </w:r>
      <w:r w:rsidRPr="00D632AC">
        <w:rPr>
          <w:rFonts w:cstheme="minorHAnsi"/>
        </w:rPr>
        <w:t xml:space="preserve">human medicines and cosmetics </w:t>
      </w:r>
      <w:r w:rsidR="00F13959">
        <w:rPr>
          <w:rFonts w:cstheme="minorHAnsi"/>
        </w:rPr>
        <w:t xml:space="preserve">sectors </w:t>
      </w:r>
      <w:r w:rsidRPr="00D632AC">
        <w:rPr>
          <w:rFonts w:cstheme="minorHAnsi"/>
        </w:rPr>
        <w:t>without taking in account other studies that explained the contribution of other product sectors to micropollutants in wastewater</w:t>
      </w:r>
      <w:r w:rsidR="004F330B">
        <w:rPr>
          <w:rFonts w:cstheme="minorHAnsi"/>
        </w:rPr>
        <w:t>,</w:t>
      </w:r>
      <w:r w:rsidRPr="00D632AC">
        <w:rPr>
          <w:rStyle w:val="FootnoteReference"/>
          <w:rFonts w:cstheme="minorHAnsi"/>
        </w:rPr>
        <w:footnoteReference w:id="10"/>
      </w:r>
      <w:r w:rsidR="004F330B">
        <w:rPr>
          <w:rFonts w:cstheme="minorHAnsi"/>
        </w:rPr>
        <w:t xml:space="preserve"> thus failing to comply with the polluter</w:t>
      </w:r>
      <w:r w:rsidR="00C40EDC">
        <w:rPr>
          <w:rFonts w:cstheme="minorHAnsi"/>
        </w:rPr>
        <w:t xml:space="preserve"> </w:t>
      </w:r>
      <w:r w:rsidR="004F330B">
        <w:rPr>
          <w:rFonts w:cstheme="minorHAnsi"/>
        </w:rPr>
        <w:t>pays principle.</w:t>
      </w:r>
      <w:r w:rsidR="00B45E6B" w:rsidRPr="00D632AC">
        <w:rPr>
          <w:rFonts w:cstheme="minorHAnsi"/>
        </w:rPr>
        <w:t xml:space="preserve">  </w:t>
      </w:r>
    </w:p>
    <w:p w14:paraId="74162DBB" w14:textId="2231091D" w:rsidR="00543434" w:rsidRPr="00D632AC" w:rsidRDefault="00B45E6B" w:rsidP="009E0916">
      <w:pPr>
        <w:pStyle w:val="BodyText"/>
        <w:jc w:val="both"/>
        <w:rPr>
          <w:rFonts w:cstheme="minorHAnsi"/>
        </w:rPr>
      </w:pPr>
      <w:r w:rsidRPr="00D632AC">
        <w:rPr>
          <w:rFonts w:cstheme="minorHAnsi"/>
        </w:rPr>
        <w:t>In fact, the Feasibility Study recognized that focusing only on two sectors was not optimal.</w:t>
      </w:r>
      <w:r w:rsidRPr="00D632AC">
        <w:rPr>
          <w:rStyle w:val="FootnoteReference"/>
          <w:rFonts w:cstheme="minorHAnsi"/>
        </w:rPr>
        <w:footnoteReference w:id="11"/>
      </w:r>
      <w:r w:rsidRPr="00D632AC">
        <w:rPr>
          <w:rFonts w:cstheme="minorHAnsi"/>
        </w:rPr>
        <w:t xml:space="preserve"> </w:t>
      </w:r>
      <w:r w:rsidR="006D1A2C" w:rsidRPr="00D632AC">
        <w:rPr>
          <w:rFonts w:cstheme="minorHAnsi"/>
        </w:rPr>
        <w:t xml:space="preserve"> </w:t>
      </w:r>
      <w:r w:rsidRPr="00D632AC">
        <w:rPr>
          <w:rFonts w:cstheme="minorHAnsi"/>
        </w:rPr>
        <w:t>The study acknowledged that in defining the scope of the EPR, rather than a selection of covered sectors, a “</w:t>
      </w:r>
      <w:r w:rsidRPr="00D632AC">
        <w:rPr>
          <w:rFonts w:cstheme="minorHAnsi"/>
          <w:u w:val="single"/>
        </w:rPr>
        <w:t>selection of substances</w:t>
      </w:r>
      <w:r w:rsidRPr="00D632AC">
        <w:rPr>
          <w:rFonts w:cstheme="minorHAnsi"/>
        </w:rPr>
        <w:t xml:space="preserve">, if based on objective criteria that relate to the contribution to the cost of the fourth treatment (biodegradability), </w:t>
      </w:r>
      <w:r w:rsidRPr="00D632AC">
        <w:rPr>
          <w:rFonts w:cstheme="minorHAnsi"/>
          <w:u w:val="single"/>
        </w:rPr>
        <w:t>improves the application of the [polluter</w:t>
      </w:r>
      <w:r w:rsidR="00C40EDC">
        <w:rPr>
          <w:rFonts w:cstheme="minorHAnsi"/>
          <w:u w:val="single"/>
        </w:rPr>
        <w:t xml:space="preserve"> </w:t>
      </w:r>
      <w:r w:rsidRPr="00D632AC">
        <w:rPr>
          <w:rFonts w:cstheme="minorHAnsi"/>
          <w:u w:val="single"/>
        </w:rPr>
        <w:t>pays principle]</w:t>
      </w:r>
      <w:r w:rsidRPr="00D632AC">
        <w:rPr>
          <w:rFonts w:cstheme="minorHAnsi"/>
        </w:rPr>
        <w:t>.  A selection of substances fosters substitution and could reduce the administrative burden while improving the reliability of declarations by focusing the scope on key contributors only” (emphasis added)</w:t>
      </w:r>
      <w:r w:rsidR="006D1A2C" w:rsidRPr="00D632AC">
        <w:rPr>
          <w:rFonts w:cstheme="minorHAnsi"/>
        </w:rPr>
        <w:t>.</w:t>
      </w:r>
      <w:r w:rsidR="006D1A2C" w:rsidRPr="00D632AC">
        <w:rPr>
          <w:rStyle w:val="FootnoteReference"/>
          <w:rFonts w:cstheme="minorHAnsi"/>
        </w:rPr>
        <w:footnoteReference w:id="12"/>
      </w:r>
    </w:p>
    <w:p w14:paraId="5C9F9573" w14:textId="77777777" w:rsidR="0092730B" w:rsidRPr="009241BD" w:rsidRDefault="00A32154" w:rsidP="009E0916">
      <w:pPr>
        <w:pStyle w:val="Heading3"/>
        <w:jc w:val="both"/>
        <w:rPr>
          <w:b/>
          <w:bCs/>
        </w:rPr>
      </w:pPr>
      <w:r w:rsidRPr="009241BD">
        <w:rPr>
          <w:b/>
          <w:bCs/>
        </w:rPr>
        <w:t>The UWWTD Requires Producers of Human Medicines to Pay for More than the Costs of the Quaternary Treatment of the Micropollutants from their Products</w:t>
      </w:r>
    </w:p>
    <w:p w14:paraId="71353D22" w14:textId="42D11E5F" w:rsidR="008F6B22" w:rsidRPr="00D632AC" w:rsidRDefault="00B21EE7" w:rsidP="009E0916">
      <w:pPr>
        <w:pStyle w:val="BodyText"/>
        <w:jc w:val="both"/>
        <w:rPr>
          <w:rFonts w:cstheme="minorHAnsi"/>
        </w:rPr>
      </w:pPr>
      <w:r>
        <w:rPr>
          <w:rFonts w:cstheme="minorHAnsi"/>
        </w:rPr>
        <w:t>Moreover, b</w:t>
      </w:r>
      <w:r w:rsidR="00A32154" w:rsidRPr="00D632AC">
        <w:rPr>
          <w:rFonts w:cstheme="minorHAnsi"/>
        </w:rPr>
        <w:t xml:space="preserve">y requiring producers of human medicines and cosmetic products to pay at least 80% of the costs of quaternary treatment, </w:t>
      </w:r>
      <w:r w:rsidR="00A32154" w:rsidRPr="00E3593C">
        <w:rPr>
          <w:rFonts w:cstheme="minorHAnsi"/>
        </w:rPr>
        <w:t>the UWWTD requires</w:t>
      </w:r>
      <w:r w:rsidR="004F330B" w:rsidRPr="00E3593C">
        <w:rPr>
          <w:rFonts w:cstheme="minorHAnsi"/>
        </w:rPr>
        <w:t xml:space="preserve"> these producers</w:t>
      </w:r>
      <w:r w:rsidR="00A32154" w:rsidRPr="00E3593C">
        <w:rPr>
          <w:rFonts w:cstheme="minorHAnsi"/>
        </w:rPr>
        <w:t xml:space="preserve"> to pay significantly more than the costs of the quaternary treatment to remove the micropollutants resulting from their </w:t>
      </w:r>
      <w:r w:rsidR="004F330B" w:rsidRPr="00E3593C">
        <w:rPr>
          <w:rFonts w:cstheme="minorHAnsi"/>
        </w:rPr>
        <w:t xml:space="preserve">own </w:t>
      </w:r>
      <w:r w:rsidR="00A32154" w:rsidRPr="00E3593C">
        <w:rPr>
          <w:rFonts w:cstheme="minorHAnsi"/>
        </w:rPr>
        <w:t>products.</w:t>
      </w:r>
      <w:r w:rsidR="004F330B">
        <w:rPr>
          <w:rFonts w:cstheme="minorHAnsi"/>
        </w:rPr>
        <w:t xml:space="preserve">  This approach is </w:t>
      </w:r>
      <w:r>
        <w:rPr>
          <w:rFonts w:cstheme="minorHAnsi"/>
        </w:rPr>
        <w:t xml:space="preserve">not in accordance with the polluter pays principle because it </w:t>
      </w:r>
      <w:r w:rsidR="002566B9">
        <w:rPr>
          <w:rFonts w:cstheme="minorHAnsi"/>
        </w:rPr>
        <w:t xml:space="preserve">is </w:t>
      </w:r>
      <w:r w:rsidR="004F330B">
        <w:rPr>
          <w:rFonts w:cstheme="minorHAnsi"/>
        </w:rPr>
        <w:t>scientifically unjustified and disproportionate.</w:t>
      </w:r>
    </w:p>
    <w:p w14:paraId="12B33DED" w14:textId="258A3C5A" w:rsidR="00B21EE7" w:rsidRDefault="00B45E6B" w:rsidP="009E0916">
      <w:pPr>
        <w:pStyle w:val="BodyText"/>
        <w:jc w:val="both"/>
        <w:rPr>
          <w:rFonts w:cstheme="minorHAnsi"/>
        </w:rPr>
      </w:pPr>
      <w:r w:rsidRPr="00D632AC">
        <w:rPr>
          <w:rFonts w:cstheme="minorHAnsi"/>
        </w:rPr>
        <w:t xml:space="preserve">First, it is very likely that the Impact Assessment and Feasibility Study overestimated the contribution of human medicines to micropollutants in wastewaters.  </w:t>
      </w:r>
      <w:r w:rsidR="00812CC0" w:rsidRPr="00D632AC">
        <w:rPr>
          <w:rFonts w:cstheme="minorHAnsi"/>
        </w:rPr>
        <w:t>The Impact Assessment and Feasibility Study</w:t>
      </w:r>
      <w:r w:rsidR="003F657D" w:rsidRPr="00D632AC">
        <w:rPr>
          <w:rFonts w:cstheme="minorHAnsi"/>
        </w:rPr>
        <w:t xml:space="preserve"> failed to </w:t>
      </w:r>
      <w:proofErr w:type="gramStart"/>
      <w:r w:rsidR="003F657D" w:rsidRPr="00D632AC">
        <w:rPr>
          <w:rFonts w:cstheme="minorHAnsi"/>
        </w:rPr>
        <w:t>take into account</w:t>
      </w:r>
      <w:proofErr w:type="gramEnd"/>
      <w:r w:rsidR="003F657D" w:rsidRPr="00D632AC">
        <w:rPr>
          <w:rFonts w:cstheme="minorHAnsi"/>
        </w:rPr>
        <w:t xml:space="preserve"> that</w:t>
      </w:r>
      <w:r w:rsidR="00D26662" w:rsidRPr="00D632AC">
        <w:rPr>
          <w:rFonts w:cstheme="minorHAnsi"/>
        </w:rPr>
        <w:t xml:space="preserve">, as recognized by the European </w:t>
      </w:r>
      <w:r w:rsidR="00D26662" w:rsidRPr="0055129D">
        <w:rPr>
          <w:rFonts w:cstheme="minorHAnsi"/>
        </w:rPr>
        <w:t>Medicines Agency</w:t>
      </w:r>
      <w:r w:rsidR="00A50CF2">
        <w:rPr>
          <w:rFonts w:cstheme="minorHAnsi"/>
        </w:rPr>
        <w:t>,</w:t>
      </w:r>
      <w:r w:rsidR="00D26662" w:rsidRPr="0055129D">
        <w:rPr>
          <w:rFonts w:cstheme="minorHAnsi"/>
        </w:rPr>
        <w:t xml:space="preserve"> </w:t>
      </w:r>
      <w:r w:rsidR="003F657D" w:rsidRPr="0055129D">
        <w:rPr>
          <w:rFonts w:cstheme="minorHAnsi"/>
        </w:rPr>
        <w:t>many human</w:t>
      </w:r>
      <w:r w:rsidR="003F657D" w:rsidRPr="00D632AC">
        <w:rPr>
          <w:rFonts w:cstheme="minorHAnsi"/>
        </w:rPr>
        <w:t xml:space="preserve"> medicines </w:t>
      </w:r>
      <w:r w:rsidR="00B21EE7">
        <w:rPr>
          <w:rFonts w:cstheme="minorHAnsi"/>
        </w:rPr>
        <w:t xml:space="preserve">are </w:t>
      </w:r>
      <w:r w:rsidR="003F657D" w:rsidRPr="00D632AC">
        <w:rPr>
          <w:rFonts w:cstheme="minorHAnsi"/>
        </w:rPr>
        <w:t>metabolize</w:t>
      </w:r>
      <w:r w:rsidR="00B21EE7">
        <w:rPr>
          <w:rFonts w:cstheme="minorHAnsi"/>
        </w:rPr>
        <w:t>d</w:t>
      </w:r>
      <w:r w:rsidR="003F657D" w:rsidRPr="00D632AC">
        <w:rPr>
          <w:rFonts w:cstheme="minorHAnsi"/>
        </w:rPr>
        <w:t xml:space="preserve"> in the human body,</w:t>
      </w:r>
      <w:r w:rsidR="00B21EE7">
        <w:rPr>
          <w:rStyle w:val="FootnoteReference"/>
          <w:rFonts w:cstheme="minorHAnsi"/>
        </w:rPr>
        <w:footnoteReference w:id="13"/>
      </w:r>
      <w:r w:rsidR="00B21EE7">
        <w:rPr>
          <w:rFonts w:cstheme="minorHAnsi"/>
        </w:rPr>
        <w:t xml:space="preserve"> and</w:t>
      </w:r>
      <w:r w:rsidR="003F657D" w:rsidRPr="00D632AC">
        <w:rPr>
          <w:rFonts w:cstheme="minorHAnsi"/>
        </w:rPr>
        <w:t xml:space="preserve"> are biodegradable or are removed from wastewaters by absorption to sewage sludge.  </w:t>
      </w:r>
    </w:p>
    <w:p w14:paraId="227731D2" w14:textId="68884DA3" w:rsidR="00EA604E" w:rsidRPr="00D632AC" w:rsidRDefault="003F657D" w:rsidP="009E0916">
      <w:pPr>
        <w:pStyle w:val="BodyText"/>
        <w:jc w:val="both"/>
        <w:rPr>
          <w:rFonts w:cstheme="minorHAnsi"/>
        </w:rPr>
      </w:pPr>
      <w:r w:rsidRPr="00D632AC">
        <w:rPr>
          <w:rFonts w:cstheme="minorHAnsi"/>
        </w:rPr>
        <w:t xml:space="preserve">Article 9(2) </w:t>
      </w:r>
      <w:r w:rsidR="004F330B">
        <w:rPr>
          <w:rFonts w:cstheme="minorHAnsi"/>
        </w:rPr>
        <w:t xml:space="preserve">of the UWWTD </w:t>
      </w:r>
      <w:r w:rsidR="00B21EE7">
        <w:rPr>
          <w:rFonts w:cstheme="minorHAnsi"/>
        </w:rPr>
        <w:t xml:space="preserve">does </w:t>
      </w:r>
      <w:r w:rsidRPr="00D632AC">
        <w:rPr>
          <w:rFonts w:cstheme="minorHAnsi"/>
        </w:rPr>
        <w:t>require Mem</w:t>
      </w:r>
      <w:r w:rsidR="005000CF" w:rsidRPr="00D632AC">
        <w:rPr>
          <w:rFonts w:cstheme="minorHAnsi"/>
        </w:rPr>
        <w:t>ber States to ex</w:t>
      </w:r>
      <w:r w:rsidR="000929B3">
        <w:rPr>
          <w:rFonts w:cstheme="minorHAnsi"/>
        </w:rPr>
        <w:t>onerate</w:t>
      </w:r>
      <w:r w:rsidR="005000CF" w:rsidRPr="00D632AC">
        <w:rPr>
          <w:rFonts w:cstheme="minorHAnsi"/>
        </w:rPr>
        <w:t xml:space="preserve"> producers </w:t>
      </w:r>
      <w:r w:rsidR="004F330B">
        <w:rPr>
          <w:rFonts w:cstheme="minorHAnsi"/>
        </w:rPr>
        <w:t xml:space="preserve">from their EPR obligation </w:t>
      </w:r>
      <w:r w:rsidR="005000CF" w:rsidRPr="00D632AC">
        <w:rPr>
          <w:rFonts w:cstheme="minorHAnsi"/>
        </w:rPr>
        <w:t>if they market products with substances that are rapidly biodegradable in wastewaters or that do not generate micropollutants in wastewater</w:t>
      </w:r>
      <w:r w:rsidR="00B21EE7">
        <w:rPr>
          <w:rFonts w:cstheme="minorHAnsi"/>
        </w:rPr>
        <w:t>.  However,</w:t>
      </w:r>
      <w:r w:rsidR="005000CF" w:rsidRPr="00D632AC">
        <w:rPr>
          <w:rFonts w:cstheme="minorHAnsi"/>
        </w:rPr>
        <w:t xml:space="preserve"> this is only with respect to individual producers and not for the entire sector of producers of human medicines.</w:t>
      </w:r>
      <w:r w:rsidR="00DF5BAD" w:rsidRPr="00D632AC">
        <w:rPr>
          <w:rFonts w:cstheme="minorHAnsi"/>
        </w:rPr>
        <w:t xml:space="preserve">  </w:t>
      </w:r>
      <w:r w:rsidR="005000CF" w:rsidRPr="00D632AC">
        <w:rPr>
          <w:rFonts w:cstheme="minorHAnsi"/>
        </w:rPr>
        <w:lastRenderedPageBreak/>
        <w:t>The UWWTD requires producers of human medicines (and cosmetic products) as a group to pay up to 80% of the costs of the quaternary treatment</w:t>
      </w:r>
      <w:r w:rsidR="002566B9">
        <w:rPr>
          <w:rFonts w:cstheme="minorHAnsi"/>
        </w:rPr>
        <w:t>,</w:t>
      </w:r>
      <w:r w:rsidR="005000CF" w:rsidRPr="00D632AC">
        <w:rPr>
          <w:rFonts w:cstheme="minorHAnsi"/>
        </w:rPr>
        <w:t xml:space="preserve"> even if</w:t>
      </w:r>
      <w:r w:rsidR="00ED7891">
        <w:rPr>
          <w:rFonts w:cstheme="minorHAnsi"/>
        </w:rPr>
        <w:t xml:space="preserve"> a scientific assessment would have shown that</w:t>
      </w:r>
      <w:r w:rsidR="005000CF" w:rsidRPr="00D632AC">
        <w:rPr>
          <w:rFonts w:cstheme="minorHAnsi"/>
        </w:rPr>
        <w:t xml:space="preserve"> many of their products are biodegradable or do not result in micropollutants</w:t>
      </w:r>
      <w:r w:rsidR="00B21EE7">
        <w:rPr>
          <w:rFonts w:cstheme="minorHAnsi"/>
        </w:rPr>
        <w:t>.</w:t>
      </w:r>
    </w:p>
    <w:p w14:paraId="61BDA034" w14:textId="0E74961D" w:rsidR="00543434" w:rsidRPr="00D632AC" w:rsidRDefault="00DF5BAD" w:rsidP="009E0916">
      <w:pPr>
        <w:pStyle w:val="BodyText"/>
        <w:jc w:val="both"/>
        <w:rPr>
          <w:rFonts w:cstheme="minorHAnsi"/>
        </w:rPr>
      </w:pPr>
      <w:r w:rsidRPr="00D632AC">
        <w:rPr>
          <w:rFonts w:cstheme="minorHAnsi"/>
        </w:rPr>
        <w:t xml:space="preserve">Second, not only the Commission’s Impact Assessment and Feasibility Study failed to assess the micropollutants contribution of other sectors and overestimated that of human medicines, but the UWWTD also imposes on producers of human medicines (and cosmetic products) a higher share of the costs of the quaternary treatment than </w:t>
      </w:r>
      <w:r w:rsidR="00DA1DE9" w:rsidRPr="00D632AC">
        <w:rPr>
          <w:rFonts w:cstheme="minorHAnsi"/>
        </w:rPr>
        <w:t>their actual contribution to micropollutants</w:t>
      </w:r>
      <w:r w:rsidR="00B21EE7">
        <w:rPr>
          <w:rFonts w:cstheme="minorHAnsi"/>
        </w:rPr>
        <w:t xml:space="preserve"> </w:t>
      </w:r>
      <w:r w:rsidR="00DA1DE9">
        <w:rPr>
          <w:rFonts w:cstheme="minorHAnsi"/>
        </w:rPr>
        <w:t xml:space="preserve">in </w:t>
      </w:r>
      <w:r w:rsidR="00B21EE7">
        <w:rPr>
          <w:rFonts w:cstheme="minorHAnsi"/>
        </w:rPr>
        <w:t>the Impact Assessment</w:t>
      </w:r>
      <w:r w:rsidRPr="00D632AC">
        <w:rPr>
          <w:rFonts w:cstheme="minorHAnsi"/>
        </w:rPr>
        <w:t xml:space="preserve">. </w:t>
      </w:r>
      <w:r w:rsidR="00140999" w:rsidRPr="00D632AC">
        <w:rPr>
          <w:rFonts w:cstheme="minorHAnsi"/>
        </w:rPr>
        <w:t xml:space="preserve"> </w:t>
      </w:r>
      <w:r w:rsidRPr="00D632AC">
        <w:rPr>
          <w:rFonts w:cstheme="minorHAnsi"/>
        </w:rPr>
        <w:t xml:space="preserve">In line with the </w:t>
      </w:r>
      <w:r w:rsidR="00E61D17" w:rsidRPr="00D632AC">
        <w:rPr>
          <w:rFonts w:cstheme="minorHAnsi"/>
        </w:rPr>
        <w:t>Feasibility</w:t>
      </w:r>
      <w:r w:rsidRPr="00D632AC">
        <w:rPr>
          <w:rFonts w:cstheme="minorHAnsi"/>
        </w:rPr>
        <w:t xml:space="preserve"> Study,</w:t>
      </w:r>
      <w:r w:rsidRPr="00D632AC">
        <w:rPr>
          <w:rStyle w:val="FootnoteReference"/>
          <w:rFonts w:cstheme="minorHAnsi"/>
        </w:rPr>
        <w:footnoteReference w:id="14"/>
      </w:r>
      <w:r w:rsidRPr="00D632AC">
        <w:rPr>
          <w:rFonts w:cstheme="minorHAnsi"/>
        </w:rPr>
        <w:t xml:space="preserve"> the Commission</w:t>
      </w:r>
      <w:r w:rsidR="00DA1DE9">
        <w:rPr>
          <w:rFonts w:cstheme="minorHAnsi"/>
        </w:rPr>
        <w:t>’s</w:t>
      </w:r>
      <w:r w:rsidRPr="00D632AC">
        <w:rPr>
          <w:rFonts w:cstheme="minorHAnsi"/>
        </w:rPr>
        <w:t xml:space="preserve"> Impact Assessment </w:t>
      </w:r>
      <w:r w:rsidR="00EE46F8" w:rsidRPr="00D632AC">
        <w:rPr>
          <w:rFonts w:cstheme="minorHAnsi"/>
        </w:rPr>
        <w:t>claimed that “pharmaceuticals represent 59% of input quantities to wastewater treatment plants (14% for PCPs [</w:t>
      </w:r>
      <w:r w:rsidR="00EE46F8" w:rsidRPr="00D632AC">
        <w:rPr>
          <w:rFonts w:cstheme="minorHAnsi"/>
          <w:i/>
          <w:iCs/>
        </w:rPr>
        <w:t>i.e</w:t>
      </w:r>
      <w:r w:rsidR="00140999" w:rsidRPr="00D632AC">
        <w:rPr>
          <w:rFonts w:cstheme="minorHAnsi"/>
          <w:i/>
          <w:iCs/>
        </w:rPr>
        <w:t>.</w:t>
      </w:r>
      <w:r w:rsidR="00EE46F8" w:rsidRPr="00D632AC">
        <w:rPr>
          <w:rFonts w:cstheme="minorHAnsi"/>
        </w:rPr>
        <w:t>, cosmetic products]), 48% of the toxic chronic load (17% for PCPs) and 66% of the total toxic load PNEC […] (26% for PCPs)</w:t>
      </w:r>
      <w:r w:rsidR="00C85CC4">
        <w:rPr>
          <w:rFonts w:cstheme="minorHAnsi"/>
        </w:rPr>
        <w:t>.</w:t>
      </w:r>
      <w:r w:rsidR="004F330B">
        <w:rPr>
          <w:rFonts w:cstheme="minorHAnsi"/>
        </w:rPr>
        <w:t>”</w:t>
      </w:r>
      <w:r w:rsidR="00EE46F8" w:rsidRPr="00D632AC">
        <w:rPr>
          <w:rStyle w:val="FootnoteReference"/>
          <w:rFonts w:cstheme="minorHAnsi"/>
        </w:rPr>
        <w:footnoteReference w:id="15"/>
      </w:r>
      <w:r w:rsidR="00EE46F8" w:rsidRPr="00D632AC">
        <w:rPr>
          <w:rFonts w:cstheme="minorHAnsi"/>
        </w:rPr>
        <w:t xml:space="preserve">  </w:t>
      </w:r>
      <w:r w:rsidR="004F330B">
        <w:rPr>
          <w:rFonts w:cstheme="minorHAnsi"/>
        </w:rPr>
        <w:t>T</w:t>
      </w:r>
      <w:r w:rsidR="00EE46F8" w:rsidRPr="00D632AC">
        <w:rPr>
          <w:rFonts w:cstheme="minorHAnsi"/>
        </w:rPr>
        <w:t xml:space="preserve">hese figures </w:t>
      </w:r>
      <w:r w:rsidR="00DA1DE9">
        <w:rPr>
          <w:rFonts w:cstheme="minorHAnsi"/>
        </w:rPr>
        <w:t>indicate</w:t>
      </w:r>
      <w:r w:rsidR="00EE46F8" w:rsidRPr="00D632AC">
        <w:rPr>
          <w:rFonts w:cstheme="minorHAnsi"/>
        </w:rPr>
        <w:t xml:space="preserve"> that human medicines and cosmetic products contribute less than 80% of the pollution of micropollutants to wastewaters</w:t>
      </w:r>
      <w:r w:rsidR="00F01789">
        <w:rPr>
          <w:rFonts w:cstheme="minorHAnsi"/>
        </w:rPr>
        <w:t xml:space="preserve">. </w:t>
      </w:r>
      <w:r w:rsidR="00EE46F8" w:rsidRPr="00D632AC">
        <w:rPr>
          <w:rFonts w:cstheme="minorHAnsi"/>
        </w:rPr>
        <w:t xml:space="preserve"> </w:t>
      </w:r>
      <w:r w:rsidR="00F01789">
        <w:rPr>
          <w:rFonts w:cstheme="minorHAnsi"/>
        </w:rPr>
        <w:t>Y</w:t>
      </w:r>
      <w:r w:rsidR="004F330B">
        <w:rPr>
          <w:rFonts w:cstheme="minorHAnsi"/>
        </w:rPr>
        <w:t>et</w:t>
      </w:r>
      <w:r w:rsidR="00F01789">
        <w:rPr>
          <w:rFonts w:cstheme="minorHAnsi"/>
        </w:rPr>
        <w:t>,</w:t>
      </w:r>
      <w:r w:rsidR="004F330B">
        <w:rPr>
          <w:rFonts w:cstheme="minorHAnsi"/>
        </w:rPr>
        <w:t xml:space="preserve"> </w:t>
      </w:r>
      <w:r w:rsidR="00EE46F8" w:rsidRPr="00D632AC">
        <w:rPr>
          <w:rFonts w:cstheme="minorHAnsi"/>
        </w:rPr>
        <w:t xml:space="preserve">the UWWTD requires producers of such products to </w:t>
      </w:r>
      <w:r w:rsidR="00F01789">
        <w:rPr>
          <w:rFonts w:cstheme="minorHAnsi"/>
        </w:rPr>
        <w:t>pay</w:t>
      </w:r>
      <w:r w:rsidR="00EE46F8" w:rsidRPr="00D632AC">
        <w:rPr>
          <w:rFonts w:cstheme="minorHAnsi"/>
        </w:rPr>
        <w:t xml:space="preserve"> at least 80% of </w:t>
      </w:r>
      <w:r w:rsidR="00F01789">
        <w:rPr>
          <w:rFonts w:cstheme="minorHAnsi"/>
        </w:rPr>
        <w:t xml:space="preserve">the costs of </w:t>
      </w:r>
      <w:r w:rsidR="00EE46F8" w:rsidRPr="00D632AC">
        <w:rPr>
          <w:rFonts w:cstheme="minorHAnsi"/>
        </w:rPr>
        <w:t>quaternary treatment of all micropollutants</w:t>
      </w:r>
      <w:r w:rsidR="004F330B">
        <w:rPr>
          <w:rFonts w:cstheme="minorHAnsi"/>
        </w:rPr>
        <w:t>.  The UWWTD, Commission’s Impact Assessment and Feasibility Study provide no adequate and evidence-based justification for this decision.</w:t>
      </w:r>
    </w:p>
    <w:p w14:paraId="2A0EDE33" w14:textId="77777777" w:rsidR="00EA604E" w:rsidRPr="009241BD" w:rsidRDefault="00E61D17" w:rsidP="009E0916">
      <w:pPr>
        <w:pStyle w:val="Heading3"/>
        <w:jc w:val="both"/>
        <w:rPr>
          <w:b/>
          <w:bCs/>
        </w:rPr>
      </w:pPr>
      <w:r w:rsidRPr="009241BD">
        <w:rPr>
          <w:b/>
          <w:bCs/>
        </w:rPr>
        <w:t xml:space="preserve">The UWWTD </w:t>
      </w:r>
      <w:r w:rsidR="002F643E" w:rsidRPr="009241BD">
        <w:rPr>
          <w:b/>
          <w:bCs/>
        </w:rPr>
        <w:t>Requires Individual Producers to Pay Significantly More than the Contribution to Micropollutants of their Individual Products</w:t>
      </w:r>
    </w:p>
    <w:p w14:paraId="176F12B0" w14:textId="27FE16A5" w:rsidR="008F6B22" w:rsidRPr="00D632AC" w:rsidRDefault="00DA1DE9" w:rsidP="009E0916">
      <w:pPr>
        <w:pStyle w:val="BodyText"/>
        <w:jc w:val="both"/>
        <w:rPr>
          <w:rFonts w:cstheme="minorHAnsi"/>
        </w:rPr>
      </w:pPr>
      <w:r>
        <w:rPr>
          <w:rFonts w:cstheme="minorHAnsi"/>
        </w:rPr>
        <w:t xml:space="preserve">The UWWTD has an even more disproportionate impact on </w:t>
      </w:r>
      <w:r w:rsidR="00ED7891">
        <w:rPr>
          <w:rFonts w:cstheme="minorHAnsi"/>
        </w:rPr>
        <w:t>“</w:t>
      </w:r>
      <w:r>
        <w:rPr>
          <w:rFonts w:cstheme="minorHAnsi"/>
        </w:rPr>
        <w:t>individual</w:t>
      </w:r>
      <w:r w:rsidR="00ED7891">
        <w:rPr>
          <w:rFonts w:cstheme="minorHAnsi"/>
        </w:rPr>
        <w:t>”</w:t>
      </w:r>
      <w:r>
        <w:rPr>
          <w:rFonts w:cstheme="minorHAnsi"/>
        </w:rPr>
        <w:t xml:space="preserve"> producers of human medicines that are covered by the EPR obligations.  As a result of the UWWTD’s exoneration provisions, the Directive imposes on individual producers that are not exonerated costs that are significantly beyond their contribution to the pollution.  </w:t>
      </w:r>
    </w:p>
    <w:p w14:paraId="1B2C9A58" w14:textId="4742172F" w:rsidR="002B2E81" w:rsidRPr="00D632AC" w:rsidRDefault="00FC6DB1" w:rsidP="009E0916">
      <w:pPr>
        <w:pStyle w:val="BodyText"/>
        <w:jc w:val="both"/>
        <w:rPr>
          <w:rFonts w:cstheme="minorHAnsi"/>
        </w:rPr>
      </w:pPr>
      <w:r w:rsidRPr="00D632AC">
        <w:rPr>
          <w:rFonts w:cstheme="minorHAnsi"/>
        </w:rPr>
        <w:t>As explained above, the UWWTD requires producers of human medicines and cosmetics to pay for at least 80% of the costs of the quaternary treatment to remove all micropollutants.  However, in practice, the individual producers of medicinal products that are required to pay for the costs of quaternary treatment will pay significantly more than 80% of the costs.  This is because Article 9(2) of the Directive requires Member States to e</w:t>
      </w:r>
      <w:r w:rsidR="000929B3">
        <w:rPr>
          <w:rFonts w:cstheme="minorHAnsi"/>
        </w:rPr>
        <w:t>xonerate</w:t>
      </w:r>
      <w:r w:rsidRPr="00D632AC">
        <w:rPr>
          <w:rFonts w:cstheme="minorHAnsi"/>
        </w:rPr>
        <w:t xml:space="preserve"> producer</w:t>
      </w:r>
      <w:r w:rsidR="00ED7891">
        <w:rPr>
          <w:rFonts w:cstheme="minorHAnsi"/>
        </w:rPr>
        <w:t>s</w:t>
      </w:r>
      <w:r w:rsidRPr="00D632AC">
        <w:rPr>
          <w:rFonts w:cstheme="minorHAnsi"/>
        </w:rPr>
        <w:t xml:space="preserve"> </w:t>
      </w:r>
      <w:proofErr w:type="gramStart"/>
      <w:r w:rsidRPr="00D632AC">
        <w:rPr>
          <w:rFonts w:cstheme="minorHAnsi"/>
        </w:rPr>
        <w:t>on the basis of</w:t>
      </w:r>
      <w:proofErr w:type="gramEnd"/>
      <w:r w:rsidRPr="00D632AC">
        <w:rPr>
          <w:rFonts w:cstheme="minorHAnsi"/>
        </w:rPr>
        <w:t xml:space="preserve"> the volume of the substances in their products (below one ton per year) and the rapid biodegradability </w:t>
      </w:r>
      <w:r w:rsidR="004922C0">
        <w:rPr>
          <w:rFonts w:cstheme="minorHAnsi"/>
        </w:rPr>
        <w:t>or</w:t>
      </w:r>
      <w:r w:rsidRPr="00D632AC">
        <w:rPr>
          <w:rFonts w:cstheme="minorHAnsi"/>
        </w:rPr>
        <w:t xml:space="preserve"> non-generation of micropollutants of such substances. </w:t>
      </w:r>
    </w:p>
    <w:p w14:paraId="1929E27C" w14:textId="76ADB383" w:rsidR="004B0F3C" w:rsidRPr="00FF3488" w:rsidRDefault="002B2E81" w:rsidP="009E0916">
      <w:pPr>
        <w:pStyle w:val="BodyText"/>
        <w:jc w:val="both"/>
        <w:rPr>
          <w:rFonts w:cstheme="minorHAnsi"/>
        </w:rPr>
      </w:pPr>
      <w:r w:rsidRPr="00D632AC">
        <w:rPr>
          <w:rFonts w:cstheme="minorHAnsi"/>
        </w:rPr>
        <w:t>Thus, contrary to the polluter</w:t>
      </w:r>
      <w:r w:rsidR="00C40EDC">
        <w:rPr>
          <w:rFonts w:cstheme="minorHAnsi"/>
        </w:rPr>
        <w:t xml:space="preserve"> </w:t>
      </w:r>
      <w:r w:rsidRPr="00D632AC">
        <w:rPr>
          <w:rFonts w:cstheme="minorHAnsi"/>
        </w:rPr>
        <w:t xml:space="preserve">pays principle, those producers that are left to pay in the scheme do not only pay for the costs of removing their own pollution but </w:t>
      </w:r>
      <w:r w:rsidR="00ED7891">
        <w:rPr>
          <w:rFonts w:cstheme="minorHAnsi"/>
        </w:rPr>
        <w:t xml:space="preserve">of </w:t>
      </w:r>
      <w:r w:rsidRPr="00D632AC">
        <w:rPr>
          <w:rFonts w:cstheme="minorHAnsi"/>
        </w:rPr>
        <w:t>all pollution</w:t>
      </w:r>
      <w:r w:rsidR="004922C0">
        <w:rPr>
          <w:rFonts w:cstheme="minorHAnsi"/>
        </w:rPr>
        <w:t>,</w:t>
      </w:r>
      <w:r w:rsidR="00ED7891">
        <w:rPr>
          <w:rFonts w:cstheme="minorHAnsi"/>
        </w:rPr>
        <w:t xml:space="preserve"> including that of exonerated products and producers,</w:t>
      </w:r>
      <w:r w:rsidRPr="00D632AC">
        <w:rPr>
          <w:rFonts w:cstheme="minorHAnsi"/>
        </w:rPr>
        <w:t xml:space="preserve"> even if they are not responsible for it.</w:t>
      </w:r>
    </w:p>
    <w:p w14:paraId="76E27195" w14:textId="36D89558" w:rsidR="008F6B22" w:rsidRPr="009241BD" w:rsidRDefault="002B2E81" w:rsidP="009E0916">
      <w:pPr>
        <w:pStyle w:val="Heading3"/>
        <w:jc w:val="both"/>
        <w:rPr>
          <w:b/>
          <w:bCs/>
        </w:rPr>
      </w:pPr>
      <w:r w:rsidRPr="009241BD">
        <w:rPr>
          <w:b/>
          <w:bCs/>
        </w:rPr>
        <w:t xml:space="preserve">The UWWTD’s EPR Obligations on Producers of Human Medicines Are Not in Accordance with </w:t>
      </w:r>
      <w:r w:rsidR="005F009B">
        <w:rPr>
          <w:b/>
          <w:bCs/>
        </w:rPr>
        <w:t>O</w:t>
      </w:r>
      <w:r w:rsidRPr="009241BD">
        <w:rPr>
          <w:b/>
          <w:bCs/>
        </w:rPr>
        <w:t>ther EU EPR Schemes</w:t>
      </w:r>
    </w:p>
    <w:p w14:paraId="682C465B" w14:textId="6A08A225" w:rsidR="004C0C05" w:rsidRPr="00D632AC" w:rsidRDefault="0030568A" w:rsidP="009E0916">
      <w:pPr>
        <w:pStyle w:val="BodyText"/>
        <w:jc w:val="both"/>
      </w:pPr>
      <w:r w:rsidRPr="00D632AC">
        <w:t>The UWWTD’s obligation on producers of human medicines to pay for the quaternary treatment of wastewaters beyond their contribution to micro</w:t>
      </w:r>
      <w:r w:rsidR="00AD1EAE">
        <w:t>-</w:t>
      </w:r>
      <w:r w:rsidRPr="00D632AC">
        <w:t>pollut</w:t>
      </w:r>
      <w:r w:rsidR="00DA1DE9">
        <w:t>ion</w:t>
      </w:r>
      <w:r w:rsidRPr="00D632AC">
        <w:t xml:space="preserve"> also constitutes a significant departure from the approach followed by the</w:t>
      </w:r>
      <w:r w:rsidR="00DA1DE9">
        <w:t xml:space="preserve"> regimes of other EU EPR legislation</w:t>
      </w:r>
      <w:r w:rsidR="004922C0">
        <w:t>s</w:t>
      </w:r>
      <w:r w:rsidRPr="00D632AC">
        <w:t>, such as those of th</w:t>
      </w:r>
      <w:r w:rsidR="003B2EE7">
        <w:t xml:space="preserve">e </w:t>
      </w:r>
      <w:r w:rsidRPr="00D632AC">
        <w:t>WEEE Directive, the</w:t>
      </w:r>
      <w:r w:rsidR="003B2EE7">
        <w:t xml:space="preserve"> </w:t>
      </w:r>
      <w:r w:rsidRPr="00D632AC">
        <w:t>P</w:t>
      </w:r>
      <w:r w:rsidR="000D168F">
        <w:t xml:space="preserve">ackaging and Packaging Waste Directive </w:t>
      </w:r>
      <w:r w:rsidR="000D168F">
        <w:lastRenderedPageBreak/>
        <w:t>(“PPWD”)</w:t>
      </w:r>
      <w:r w:rsidR="004C0C05" w:rsidRPr="00D632AC">
        <w:t>,</w:t>
      </w:r>
      <w:r w:rsidR="004C0C05" w:rsidRPr="00D632AC">
        <w:rPr>
          <w:rStyle w:val="FootnoteReference"/>
        </w:rPr>
        <w:footnoteReference w:id="16"/>
      </w:r>
      <w:r w:rsidRPr="00D632AC">
        <w:t xml:space="preserve"> or the Sustainable Batteries Regulation (“SBR”).</w:t>
      </w:r>
      <w:r w:rsidR="004C0C05" w:rsidRPr="00D632AC">
        <w:rPr>
          <w:rStyle w:val="FootnoteReference"/>
        </w:rPr>
        <w:footnoteReference w:id="17"/>
      </w:r>
      <w:r w:rsidRPr="00D632AC">
        <w:t xml:space="preserve">  </w:t>
      </w:r>
      <w:r w:rsidR="004C0C05" w:rsidRPr="00D632AC">
        <w:t>While th</w:t>
      </w:r>
      <w:r w:rsidR="00DA611C" w:rsidRPr="00D632AC">
        <w:t>ese</w:t>
      </w:r>
      <w:r w:rsidR="004C0C05" w:rsidRPr="00D632AC">
        <w:t xml:space="preserve"> legis</w:t>
      </w:r>
      <w:r w:rsidR="005662F9" w:rsidRPr="00D632AC">
        <w:t>la</w:t>
      </w:r>
      <w:r w:rsidR="004C0C05" w:rsidRPr="00D632AC">
        <w:t>tion</w:t>
      </w:r>
      <w:r w:rsidR="00DA611C" w:rsidRPr="00D632AC">
        <w:t>s</w:t>
      </w:r>
      <w:r w:rsidR="004C0C05" w:rsidRPr="00D632AC">
        <w:t xml:space="preserve"> may vary on whether they impose strict individual or collective responsibility on producers, they are all based on the premise that producers should pay for the waste take-back, </w:t>
      </w:r>
      <w:r w:rsidR="004C0C05" w:rsidRPr="0055129D">
        <w:t xml:space="preserve">treatment and recycling of their </w:t>
      </w:r>
      <w:r w:rsidR="00AE2436" w:rsidRPr="0055129D">
        <w:t xml:space="preserve">own </w:t>
      </w:r>
      <w:r w:rsidR="004C0C05" w:rsidRPr="0055129D">
        <w:t xml:space="preserve">products and not </w:t>
      </w:r>
      <w:r w:rsidR="00DA1DE9">
        <w:t xml:space="preserve">that of </w:t>
      </w:r>
      <w:r w:rsidR="004C0C05" w:rsidRPr="0055129D">
        <w:t>others.</w:t>
      </w:r>
    </w:p>
    <w:p w14:paraId="0593FA30" w14:textId="29AF92EE" w:rsidR="003606A9" w:rsidRPr="00D632AC" w:rsidRDefault="004C0C05" w:rsidP="009E0916">
      <w:pPr>
        <w:pStyle w:val="BodyText"/>
        <w:jc w:val="both"/>
      </w:pPr>
      <w:proofErr w:type="gramStart"/>
      <w:r w:rsidRPr="00D632AC">
        <w:t>In particular, these</w:t>
      </w:r>
      <w:proofErr w:type="gramEnd"/>
      <w:r w:rsidRPr="00D632AC">
        <w:t xml:space="preserve"> different EPRs do not </w:t>
      </w:r>
      <w:r w:rsidR="003606A9" w:rsidRPr="00D632AC">
        <w:t>require</w:t>
      </w:r>
      <w:r w:rsidRPr="00D632AC">
        <w:t xml:space="preserve"> producers to pay for the waste take</w:t>
      </w:r>
      <w:r w:rsidR="00DA611C" w:rsidRPr="00D632AC">
        <w:t>-</w:t>
      </w:r>
      <w:r w:rsidRPr="00D632AC">
        <w:t xml:space="preserve">back of products marketed by others.  For example, </w:t>
      </w:r>
      <w:r w:rsidR="009A1F63" w:rsidRPr="00D632AC">
        <w:t xml:space="preserve">when the WEEE Directive excludes from its EPR </w:t>
      </w:r>
      <w:r w:rsidR="00ED7891">
        <w:t xml:space="preserve">obligations </w:t>
      </w:r>
      <w:r w:rsidR="009A1F63" w:rsidRPr="00D632AC">
        <w:t xml:space="preserve">“large-scale stationary industrial tools,” </w:t>
      </w:r>
      <w:r w:rsidR="00DA1DE9">
        <w:t>it</w:t>
      </w:r>
      <w:r w:rsidR="009A1F63" w:rsidRPr="00D632AC">
        <w:t xml:space="preserve"> does not require producers of all other electronical and electronic equipment </w:t>
      </w:r>
      <w:r w:rsidR="00DA1DE9">
        <w:t xml:space="preserve">that are covered by the scheme </w:t>
      </w:r>
      <w:r w:rsidR="009A1F63" w:rsidRPr="00D632AC">
        <w:t>to pay for the waste tak</w:t>
      </w:r>
      <w:r w:rsidR="00DA611C" w:rsidRPr="00D632AC">
        <w:t>e-</w:t>
      </w:r>
      <w:r w:rsidR="009A1F63" w:rsidRPr="00D632AC">
        <w:t xml:space="preserve">back, treatment and recycling of waste from large-scale stationary industrial tools.  </w:t>
      </w:r>
      <w:r w:rsidR="00757C13" w:rsidRPr="00D632AC">
        <w:t xml:space="preserve">To the contrary, the WEEE Directive makes clear that “[e]ach producer shall be responsible for financing the operations referred to in paragraph 1 relating to the waste </w:t>
      </w:r>
      <w:r w:rsidR="00757C13" w:rsidRPr="00D632AC">
        <w:rPr>
          <w:u w:val="single"/>
        </w:rPr>
        <w:t>from his own products</w:t>
      </w:r>
      <w:r w:rsidR="00757C13" w:rsidRPr="00D632AC">
        <w:t>” (emphasis added).</w:t>
      </w:r>
      <w:r w:rsidR="00757C13" w:rsidRPr="00D632AC">
        <w:rPr>
          <w:rStyle w:val="FootnoteReference"/>
        </w:rPr>
        <w:footnoteReference w:id="18"/>
      </w:r>
      <w:r w:rsidR="00757C13" w:rsidRPr="00D632AC">
        <w:t xml:space="preserve">  Similarly, </w:t>
      </w:r>
      <w:r w:rsidR="008E5510" w:rsidRPr="00D632AC">
        <w:t>the SBR establishes the general principle that “[p]</w:t>
      </w:r>
      <w:proofErr w:type="spellStart"/>
      <w:r w:rsidR="008E5510" w:rsidRPr="00D632AC">
        <w:t>roducers</w:t>
      </w:r>
      <w:proofErr w:type="spellEnd"/>
      <w:r w:rsidR="008E5510" w:rsidRPr="00D632AC">
        <w:t xml:space="preserve"> should have extended producer responsibility for the management of </w:t>
      </w:r>
      <w:r w:rsidR="008E5510" w:rsidRPr="00D632AC">
        <w:rPr>
          <w:u w:val="single"/>
        </w:rPr>
        <w:t>their batteries</w:t>
      </w:r>
      <w:r w:rsidR="008E5510" w:rsidRPr="00D632AC">
        <w:t xml:space="preserve"> at the end-of-life” (emphasis added).</w:t>
      </w:r>
      <w:r w:rsidR="008E5510" w:rsidRPr="00D632AC">
        <w:rPr>
          <w:rStyle w:val="FootnoteReference"/>
        </w:rPr>
        <w:footnoteReference w:id="19"/>
      </w:r>
      <w:r w:rsidR="007F3518" w:rsidRPr="00D632AC">
        <w:t xml:space="preserve"> </w:t>
      </w:r>
      <w:r w:rsidR="00073D48">
        <w:t xml:space="preserve">  In the same line, the Waste Framework Directive states that “Member States shall take the necessary measures to ensure that the financial contributions paid by the producer of the product to comply with its extended producer responsibility obligations cover </w:t>
      </w:r>
      <w:r w:rsidR="004922C0">
        <w:t>[</w:t>
      </w:r>
      <w:r w:rsidR="00073D48">
        <w:t>…</w:t>
      </w:r>
      <w:r w:rsidR="004922C0">
        <w:t>]</w:t>
      </w:r>
      <w:r w:rsidR="00073D48">
        <w:t xml:space="preserve"> </w:t>
      </w:r>
      <w:r w:rsidR="00073D48" w:rsidRPr="00073D48">
        <w:rPr>
          <w:u w:val="single"/>
        </w:rPr>
        <w:t>costs for the products that the producer puts on the market</w:t>
      </w:r>
      <w:r w:rsidR="00073D48">
        <w:t xml:space="preserve"> in the Member State concerned”</w:t>
      </w:r>
      <w:r w:rsidR="004922C0">
        <w:t xml:space="preserve"> (emphasis added).</w:t>
      </w:r>
      <w:r w:rsidR="00073D48">
        <w:rPr>
          <w:rStyle w:val="FootnoteReference"/>
        </w:rPr>
        <w:footnoteReference w:id="20"/>
      </w:r>
      <w:r w:rsidR="004546B6">
        <w:t xml:space="preserve">  </w:t>
      </w:r>
      <w:r w:rsidR="007F3518" w:rsidRPr="00D632AC">
        <w:t xml:space="preserve">Directive (EU) 2019/904 on the Reduction of the Impact of Certain Plastic Products on the Environment </w:t>
      </w:r>
      <w:r w:rsidR="00FF317F">
        <w:t xml:space="preserve">(“SUPD”) </w:t>
      </w:r>
      <w:r w:rsidR="007F3518" w:rsidRPr="00D632AC">
        <w:t>follows a similar approach as it requires producers that place on the market single-use plastic products listed in Part E of its Annex to cover the waste-back costs of “those products</w:t>
      </w:r>
      <w:r w:rsidR="00C85CC4">
        <w:t>.</w:t>
      </w:r>
      <w:r w:rsidR="007F3518" w:rsidRPr="00D632AC">
        <w:t>”</w:t>
      </w:r>
      <w:r w:rsidR="007F3518" w:rsidRPr="00D632AC">
        <w:rPr>
          <w:rStyle w:val="FootnoteReference"/>
        </w:rPr>
        <w:footnoteReference w:id="21"/>
      </w:r>
    </w:p>
    <w:p w14:paraId="18F1B0D9" w14:textId="77777777" w:rsidR="007C05A6" w:rsidRPr="00D632AC" w:rsidRDefault="00542ACB" w:rsidP="009E0916">
      <w:pPr>
        <w:pStyle w:val="Heading2"/>
        <w:jc w:val="both"/>
        <w:rPr>
          <w:b/>
          <w:bCs/>
        </w:rPr>
      </w:pPr>
      <w:r w:rsidRPr="00D632AC">
        <w:rPr>
          <w:b/>
          <w:bCs/>
        </w:rPr>
        <w:t>The UWWTD Violates the EU Principle of Proportionality</w:t>
      </w:r>
    </w:p>
    <w:p w14:paraId="0B1A2B29" w14:textId="2327EC38" w:rsidR="00CA6FBE" w:rsidRPr="00D632AC" w:rsidRDefault="007C05A6" w:rsidP="009E0916">
      <w:pPr>
        <w:pStyle w:val="BodyText"/>
        <w:jc w:val="both"/>
        <w:rPr>
          <w:rFonts w:eastAsia="Georgia" w:cs="Georgia"/>
        </w:rPr>
      </w:pPr>
      <w:r w:rsidRPr="00D632AC">
        <w:rPr>
          <w:rFonts w:eastAsia="Georgia" w:cs="Georgia"/>
        </w:rPr>
        <w:t>Article 5</w:t>
      </w:r>
      <w:r w:rsidR="00DA1DE9">
        <w:rPr>
          <w:rFonts w:eastAsia="Georgia" w:cs="Georgia"/>
        </w:rPr>
        <w:t>(4)</w:t>
      </w:r>
      <w:r w:rsidRPr="00D632AC">
        <w:rPr>
          <w:rFonts w:eastAsia="Georgia" w:cs="Georgia"/>
        </w:rPr>
        <w:t xml:space="preserve"> of the T</w:t>
      </w:r>
      <w:r w:rsidR="006F5369" w:rsidRPr="00D632AC">
        <w:rPr>
          <w:rFonts w:eastAsia="Georgia" w:cs="Georgia"/>
        </w:rPr>
        <w:t>reaty o</w:t>
      </w:r>
      <w:r w:rsidR="00A20A3E">
        <w:rPr>
          <w:rFonts w:eastAsia="Georgia" w:cs="Georgia"/>
        </w:rPr>
        <w:t xml:space="preserve">n </w:t>
      </w:r>
      <w:r w:rsidR="006F5369" w:rsidRPr="00D632AC">
        <w:rPr>
          <w:rFonts w:eastAsia="Georgia" w:cs="Georgia"/>
        </w:rPr>
        <w:t>European Union (“T</w:t>
      </w:r>
      <w:r w:rsidRPr="00D632AC">
        <w:rPr>
          <w:rFonts w:eastAsia="Georgia" w:cs="Georgia"/>
        </w:rPr>
        <w:t>EU</w:t>
      </w:r>
      <w:r w:rsidR="006F5369" w:rsidRPr="00D632AC">
        <w:rPr>
          <w:rFonts w:eastAsia="Georgia" w:cs="Georgia"/>
        </w:rPr>
        <w:t>”)</w:t>
      </w:r>
      <w:r w:rsidRPr="00D632AC">
        <w:rPr>
          <w:rFonts w:eastAsia="Georgia" w:cs="Georgia"/>
        </w:rPr>
        <w:t xml:space="preserve"> requires that EU measures, </w:t>
      </w:r>
      <w:r w:rsidR="006B71F0" w:rsidRPr="00D632AC">
        <w:rPr>
          <w:rFonts w:eastAsia="Georgia" w:cs="Georgia"/>
        </w:rPr>
        <w:t>such as the UWWTD</w:t>
      </w:r>
      <w:r w:rsidRPr="00D632AC">
        <w:rPr>
          <w:rFonts w:eastAsia="Georgia" w:cs="Georgia"/>
        </w:rPr>
        <w:t>, comply with the principle of proportionality.</w:t>
      </w:r>
      <w:r w:rsidR="00DA1DE9">
        <w:rPr>
          <w:rStyle w:val="FootnoteReference"/>
          <w:rFonts w:eastAsia="Georgia" w:cs="Georgia"/>
        </w:rPr>
        <w:footnoteReference w:id="22"/>
      </w:r>
      <w:r w:rsidRPr="00D632AC">
        <w:rPr>
          <w:rFonts w:eastAsia="Georgia" w:cs="Georgia"/>
        </w:rPr>
        <w:t xml:space="preserve">  </w:t>
      </w:r>
      <w:r w:rsidR="006F5369" w:rsidRPr="00D632AC">
        <w:rPr>
          <w:rFonts w:eastAsia="Georgia" w:cs="Georgia"/>
        </w:rPr>
        <w:t>The CJEU has repeatedly held that to be proportionate, EU</w:t>
      </w:r>
      <w:r w:rsidR="00DA611C" w:rsidRPr="00D632AC">
        <w:rPr>
          <w:rFonts w:eastAsia="Georgia" w:cs="Georgia"/>
        </w:rPr>
        <w:t xml:space="preserve"> measures must</w:t>
      </w:r>
      <w:r w:rsidRPr="00D632AC">
        <w:rPr>
          <w:rFonts w:eastAsia="Georgia" w:cs="Georgia"/>
        </w:rPr>
        <w:t>: (</w:t>
      </w:r>
      <w:proofErr w:type="spellStart"/>
      <w:r w:rsidRPr="00D632AC">
        <w:rPr>
          <w:rFonts w:eastAsia="Georgia" w:cs="Georgia"/>
        </w:rPr>
        <w:t>i</w:t>
      </w:r>
      <w:proofErr w:type="spellEnd"/>
      <w:r w:rsidRPr="00D632AC">
        <w:rPr>
          <w:rFonts w:eastAsia="Georgia" w:cs="Georgia"/>
        </w:rPr>
        <w:t>) be appropriate for attaining the legitimate objectives pursued by the legislation at issue</w:t>
      </w:r>
      <w:r w:rsidR="002636F6">
        <w:rPr>
          <w:rFonts w:eastAsia="Georgia" w:cs="Georgia"/>
        </w:rPr>
        <w:t>;</w:t>
      </w:r>
      <w:r w:rsidRPr="00D632AC">
        <w:rPr>
          <w:rStyle w:val="FootnoteReference"/>
          <w:rFonts w:eastAsia="Georgia" w:cs="Georgia"/>
        </w:rPr>
        <w:footnoteReference w:id="23"/>
      </w:r>
      <w:r w:rsidRPr="00D632AC">
        <w:rPr>
          <w:rFonts w:eastAsia="Georgia" w:cs="Georgia"/>
        </w:rPr>
        <w:t xml:space="preserve"> (ii) not go beyond what is necessary to achieve </w:t>
      </w:r>
      <w:r w:rsidRPr="00D632AC">
        <w:rPr>
          <w:rFonts w:eastAsia="Georgia" w:cs="Georgia"/>
        </w:rPr>
        <w:lastRenderedPageBreak/>
        <w:t>them</w:t>
      </w:r>
      <w:r w:rsidR="002636F6">
        <w:rPr>
          <w:rFonts w:eastAsia="Georgia" w:cs="Georgia"/>
        </w:rPr>
        <w:t>;</w:t>
      </w:r>
      <w:r w:rsidRPr="00D632AC">
        <w:rPr>
          <w:rFonts w:eastAsia="Georgia" w:cs="Georgia"/>
        </w:rPr>
        <w:t xml:space="preserve"> and (iii) not impose an excessive burden on the individual in relation to the objective to be achieved</w:t>
      </w:r>
      <w:r w:rsidR="006B71F0" w:rsidRPr="00D632AC">
        <w:rPr>
          <w:rFonts w:eastAsia="Georgia" w:cs="Georgia"/>
        </w:rPr>
        <w:t>.</w:t>
      </w:r>
      <w:r w:rsidR="006B71F0" w:rsidRPr="00D632AC">
        <w:rPr>
          <w:rStyle w:val="FootnoteReference"/>
          <w:rFonts w:eastAsia="Georgia" w:cs="Georgia"/>
        </w:rPr>
        <w:footnoteReference w:id="24"/>
      </w:r>
      <w:r w:rsidR="00CA6FBE" w:rsidRPr="00D632AC">
        <w:rPr>
          <w:rFonts w:eastAsia="Georgia" w:cs="Georgia"/>
        </w:rPr>
        <w:t xml:space="preserve">  </w:t>
      </w:r>
    </w:p>
    <w:p w14:paraId="05F66B76" w14:textId="6A8452B5" w:rsidR="00064401" w:rsidRPr="00D632AC" w:rsidRDefault="00CA6FBE" w:rsidP="009E0916">
      <w:pPr>
        <w:pStyle w:val="BodyText"/>
        <w:jc w:val="both"/>
        <w:rPr>
          <w:rFonts w:eastAsia="Georgia" w:cs="Georgia"/>
        </w:rPr>
      </w:pPr>
      <w:r w:rsidRPr="00E3593C">
        <w:rPr>
          <w:rFonts w:eastAsia="Georgia" w:cs="Georgia"/>
        </w:rPr>
        <w:t>The UWWTD’s EPR obligation on producers o</w:t>
      </w:r>
      <w:r w:rsidR="00B74EEA" w:rsidRPr="00E3593C">
        <w:rPr>
          <w:rFonts w:eastAsia="Georgia" w:cs="Georgia"/>
        </w:rPr>
        <w:t>f</w:t>
      </w:r>
      <w:r w:rsidRPr="00E3593C">
        <w:rPr>
          <w:rFonts w:eastAsia="Georgia" w:cs="Georgia"/>
        </w:rPr>
        <w:t xml:space="preserve"> human medicines violates the EU principle of proportionality because it</w:t>
      </w:r>
      <w:r w:rsidR="00AE2436" w:rsidRPr="00E3593C">
        <w:rPr>
          <w:rFonts w:eastAsia="Georgia" w:cs="Georgia"/>
        </w:rPr>
        <w:t>: (</w:t>
      </w:r>
      <w:proofErr w:type="spellStart"/>
      <w:r w:rsidR="00AE2436" w:rsidRPr="00E3593C">
        <w:rPr>
          <w:rFonts w:eastAsia="Georgia" w:cs="Georgia"/>
        </w:rPr>
        <w:t>i</w:t>
      </w:r>
      <w:proofErr w:type="spellEnd"/>
      <w:r w:rsidR="00AE2436" w:rsidRPr="00E3593C">
        <w:rPr>
          <w:rFonts w:eastAsia="Georgia" w:cs="Georgia"/>
        </w:rPr>
        <w:t xml:space="preserve">) </w:t>
      </w:r>
      <w:r w:rsidRPr="00E3593C">
        <w:rPr>
          <w:rFonts w:eastAsia="Georgia" w:cs="Georgia"/>
        </w:rPr>
        <w:t xml:space="preserve">as explained above, imposes financial obligations on producers of human medicines that go beyond these products’ contribution to micropollutants; </w:t>
      </w:r>
      <w:r w:rsidR="00AE2436" w:rsidRPr="00E3593C">
        <w:rPr>
          <w:rFonts w:eastAsia="Georgia" w:cs="Georgia"/>
        </w:rPr>
        <w:t xml:space="preserve">(ii) is not appropriate to achieve the substitution of medicinal products that result in micropollutants in wastewater; </w:t>
      </w:r>
      <w:r w:rsidRPr="00E3593C">
        <w:rPr>
          <w:rFonts w:eastAsia="Georgia" w:cs="Georgia"/>
        </w:rPr>
        <w:t xml:space="preserve">and </w:t>
      </w:r>
      <w:r w:rsidR="00AE2436" w:rsidRPr="00E3593C">
        <w:rPr>
          <w:rFonts w:eastAsia="Georgia" w:cs="Georgia"/>
        </w:rPr>
        <w:t xml:space="preserve">(iii) </w:t>
      </w:r>
      <w:r w:rsidRPr="00E3593C">
        <w:rPr>
          <w:rFonts w:eastAsia="Georgia" w:cs="Georgia"/>
        </w:rPr>
        <w:t xml:space="preserve">imposes such burden on human medicines that </w:t>
      </w:r>
      <w:r w:rsidR="00ED7891" w:rsidRPr="00E3593C">
        <w:rPr>
          <w:rFonts w:eastAsia="Georgia" w:cs="Georgia"/>
        </w:rPr>
        <w:t xml:space="preserve">it </w:t>
      </w:r>
      <w:r w:rsidRPr="00E3593C">
        <w:rPr>
          <w:rFonts w:eastAsia="Georgia" w:cs="Georgia"/>
        </w:rPr>
        <w:t>may risk the access of patients to medicines.</w:t>
      </w:r>
      <w:r w:rsidRPr="00D632AC">
        <w:rPr>
          <w:rFonts w:eastAsia="Georgia" w:cs="Georgia"/>
        </w:rPr>
        <w:t xml:space="preserve">  As explained in the Estonian Statement </w:t>
      </w:r>
      <w:r w:rsidR="00B74EEA" w:rsidRPr="00D632AC">
        <w:rPr>
          <w:rFonts w:eastAsia="Georgia" w:cs="Georgia"/>
        </w:rPr>
        <w:t>on the proposal for a Directive of the European Parliament and of the Council concerning urban wastewater treatment (recast)</w:t>
      </w:r>
      <w:r w:rsidR="00064401" w:rsidRPr="00D632AC">
        <w:rPr>
          <w:rFonts w:eastAsia="Georgia" w:cs="Georgia"/>
        </w:rPr>
        <w:t xml:space="preserve"> of October 12, 2023:</w:t>
      </w:r>
    </w:p>
    <w:p w14:paraId="7B0759CA" w14:textId="486661A0" w:rsidR="00ED7891" w:rsidRDefault="00064401" w:rsidP="00ED7891">
      <w:pPr>
        <w:pStyle w:val="BodyText"/>
        <w:ind w:left="720"/>
        <w:jc w:val="both"/>
        <w:rPr>
          <w:sz w:val="20"/>
          <w:szCs w:val="20"/>
        </w:rPr>
      </w:pPr>
      <w:r w:rsidRPr="00ED7891">
        <w:rPr>
          <w:rFonts w:eastAsia="Georgia" w:cs="Georgia"/>
          <w:sz w:val="20"/>
          <w:szCs w:val="20"/>
        </w:rPr>
        <w:t>“</w:t>
      </w:r>
      <w:r w:rsidR="005662F9" w:rsidRPr="00ED7891">
        <w:rPr>
          <w:sz w:val="20"/>
          <w:szCs w:val="20"/>
        </w:rPr>
        <w:t>[t]</w:t>
      </w:r>
      <w:r w:rsidR="00CA6FBE" w:rsidRPr="00ED7891">
        <w:rPr>
          <w:sz w:val="20"/>
          <w:szCs w:val="20"/>
        </w:rPr>
        <w:t xml:space="preserve">he clear added value of EPR in case of pharmaceuticals has not been confirmed by the feasibility study </w:t>
      </w:r>
      <w:r w:rsidR="00CA6FBE" w:rsidRPr="00ED7891">
        <w:rPr>
          <w:rFonts w:cs="TimesNewRomanPSMT"/>
          <w:sz w:val="20"/>
          <w:szCs w:val="20"/>
        </w:rPr>
        <w:t>(carried out as part of the Commission’s impact assessment), as the e</w:t>
      </w:r>
      <w:r w:rsidR="00CA6FBE" w:rsidRPr="00ED7891">
        <w:rPr>
          <w:sz w:val="20"/>
          <w:szCs w:val="20"/>
        </w:rPr>
        <w:t xml:space="preserve">ffect of EPR on </w:t>
      </w:r>
      <w:r w:rsidRPr="00ED7891">
        <w:rPr>
          <w:sz w:val="20"/>
          <w:szCs w:val="20"/>
        </w:rPr>
        <w:t>behavioral</w:t>
      </w:r>
      <w:r w:rsidR="00CA6FBE" w:rsidRPr="00ED7891">
        <w:rPr>
          <w:sz w:val="20"/>
          <w:szCs w:val="20"/>
        </w:rPr>
        <w:t xml:space="preserve"> change would be very limited. On one hand, EPR is </w:t>
      </w:r>
      <w:r w:rsidR="00CA6FBE" w:rsidRPr="00ED7891">
        <w:rPr>
          <w:sz w:val="20"/>
          <w:szCs w:val="20"/>
          <w:u w:val="single"/>
        </w:rPr>
        <w:t xml:space="preserve">unlikely to significantly </w:t>
      </w:r>
      <w:proofErr w:type="spellStart"/>
      <w:r w:rsidR="00CA6FBE" w:rsidRPr="00ED7891">
        <w:rPr>
          <w:sz w:val="20"/>
          <w:szCs w:val="20"/>
          <w:u w:val="single"/>
        </w:rPr>
        <w:t>incentivise</w:t>
      </w:r>
      <w:proofErr w:type="spellEnd"/>
      <w:r w:rsidR="00CA6FBE" w:rsidRPr="00ED7891">
        <w:rPr>
          <w:sz w:val="20"/>
          <w:szCs w:val="20"/>
          <w:u w:val="single"/>
        </w:rPr>
        <w:t xml:space="preserve"> the substitution of pharmaceutical active ingredients in short- to medium-term</w:t>
      </w:r>
      <w:r w:rsidR="00CA6FBE" w:rsidRPr="00ED7891">
        <w:rPr>
          <w:sz w:val="20"/>
          <w:szCs w:val="20"/>
        </w:rPr>
        <w:t xml:space="preserve">, considering their specific innovation cycles. On the other hand, </w:t>
      </w:r>
      <w:r w:rsidR="00CA6FBE" w:rsidRPr="00ED7891">
        <w:rPr>
          <w:sz w:val="20"/>
          <w:szCs w:val="20"/>
          <w:u w:val="single"/>
        </w:rPr>
        <w:t>patients would not have the option to decrease their consumption of a medically indicated medicinal product or switch to another product</w:t>
      </w:r>
      <w:r w:rsidR="00CA6FBE" w:rsidRPr="00ED7891">
        <w:rPr>
          <w:sz w:val="20"/>
          <w:szCs w:val="20"/>
        </w:rPr>
        <w:t xml:space="preserve">. In this respect, ethical aspects are not sufficiently considered, as additional costs would have to be borne by patients, </w:t>
      </w:r>
      <w:r w:rsidR="00CA6FBE" w:rsidRPr="00ED7891">
        <w:rPr>
          <w:sz w:val="20"/>
          <w:szCs w:val="20"/>
          <w:u w:val="single"/>
        </w:rPr>
        <w:t>putting a disproportionate and unfair burden on population groups in a vulnerable situation</w:t>
      </w:r>
      <w:r w:rsidR="00CA6FBE" w:rsidRPr="00ED7891">
        <w:rPr>
          <w:sz w:val="20"/>
          <w:szCs w:val="20"/>
        </w:rPr>
        <w:t xml:space="preserve"> due to their health condition</w:t>
      </w:r>
      <w:r w:rsidRPr="00ED7891">
        <w:rPr>
          <w:sz w:val="20"/>
          <w:szCs w:val="20"/>
        </w:rPr>
        <w:t>”</w:t>
      </w:r>
      <w:r w:rsidR="00ED7891">
        <w:rPr>
          <w:sz w:val="20"/>
          <w:szCs w:val="20"/>
        </w:rPr>
        <w:t xml:space="preserve"> (emphasis added).</w:t>
      </w:r>
      <w:r w:rsidRPr="00ED7891">
        <w:rPr>
          <w:rStyle w:val="FootnoteReference"/>
          <w:sz w:val="20"/>
          <w:szCs w:val="20"/>
        </w:rPr>
        <w:footnoteReference w:id="25"/>
      </w:r>
      <w:r w:rsidR="00AE2436" w:rsidRPr="00ED7891">
        <w:rPr>
          <w:sz w:val="20"/>
          <w:szCs w:val="20"/>
        </w:rPr>
        <w:t xml:space="preserve"> </w:t>
      </w:r>
    </w:p>
    <w:p w14:paraId="70901F34" w14:textId="77777777" w:rsidR="00ED7891" w:rsidRPr="00ED7891" w:rsidRDefault="00ED7891" w:rsidP="00ED7891">
      <w:pPr>
        <w:pStyle w:val="BodyText"/>
        <w:ind w:left="720"/>
        <w:jc w:val="both"/>
        <w:rPr>
          <w:sz w:val="20"/>
          <w:szCs w:val="20"/>
        </w:rPr>
      </w:pPr>
    </w:p>
    <w:p w14:paraId="679EA4D9" w14:textId="77777777" w:rsidR="000B0896" w:rsidRPr="009241BD" w:rsidRDefault="000B0896" w:rsidP="009E0916">
      <w:pPr>
        <w:pStyle w:val="Heading3"/>
        <w:jc w:val="both"/>
        <w:rPr>
          <w:b/>
          <w:bCs/>
        </w:rPr>
      </w:pPr>
      <w:r w:rsidRPr="009241BD">
        <w:rPr>
          <w:b/>
          <w:bCs/>
        </w:rPr>
        <w:t>The UWWTD’s</w:t>
      </w:r>
      <w:r w:rsidR="0087588C" w:rsidRPr="009241BD">
        <w:rPr>
          <w:b/>
          <w:bCs/>
        </w:rPr>
        <w:t xml:space="preserve"> EPR</w:t>
      </w:r>
      <w:r w:rsidRPr="009241BD">
        <w:rPr>
          <w:b/>
          <w:bCs/>
        </w:rPr>
        <w:t xml:space="preserve"> Obligation on Producers of Human Medicines is Not Appropriate to Achieve the Substitution of Medicinal Products for Greener Products</w:t>
      </w:r>
    </w:p>
    <w:p w14:paraId="4C26F837" w14:textId="77777777" w:rsidR="00BA786D" w:rsidRPr="00D632AC" w:rsidRDefault="0087588C" w:rsidP="009E0916">
      <w:pPr>
        <w:pStyle w:val="BodyText"/>
        <w:jc w:val="both"/>
        <w:rPr>
          <w:rFonts w:eastAsia="Georgia" w:cs="Georgia"/>
        </w:rPr>
      </w:pPr>
      <w:r w:rsidRPr="00E3593C">
        <w:rPr>
          <w:rFonts w:eastAsia="Georgia" w:cs="Georgia"/>
        </w:rPr>
        <w:t xml:space="preserve">Contrary to what Recital 20 of the UWWTD claims, the EPR obligation that the Directive imposes on producers of human medicines will not </w:t>
      </w:r>
      <w:r w:rsidR="0021562B" w:rsidRPr="00E3593C">
        <w:rPr>
          <w:rFonts w:eastAsia="Georgia" w:cs="Georgia"/>
        </w:rPr>
        <w:t>encourage the development of greener products.</w:t>
      </w:r>
      <w:r w:rsidR="0021562B" w:rsidRPr="00D632AC">
        <w:rPr>
          <w:rFonts w:eastAsia="Georgia" w:cs="Georgia"/>
        </w:rPr>
        <w:t xml:space="preserve">  As the Commission’s own Feasibility Study acknowledges, the UWWTD’s “</w:t>
      </w:r>
      <w:r w:rsidR="0021562B" w:rsidRPr="00D632AC">
        <w:rPr>
          <w:rFonts w:cstheme="minorHAnsi"/>
        </w:rPr>
        <w:t>EPR is unlikely to significantly incentivize the substitution of pharmaceuticals, considering their specific innovation cycles and the priority of therapeutical activity in identifying eligible substances. […] The added value of EPR in this regard is unclear.”</w:t>
      </w:r>
      <w:r w:rsidR="0021562B" w:rsidRPr="00D632AC">
        <w:rPr>
          <w:rStyle w:val="FootnoteReference"/>
          <w:rFonts w:cstheme="minorHAnsi"/>
        </w:rPr>
        <w:footnoteReference w:id="26"/>
      </w:r>
      <w:r w:rsidR="0021562B" w:rsidRPr="00D632AC">
        <w:rPr>
          <w:rFonts w:cstheme="minorHAnsi"/>
        </w:rPr>
        <w:t xml:space="preserve"> </w:t>
      </w:r>
    </w:p>
    <w:p w14:paraId="0E0D3897" w14:textId="2B3FB54E" w:rsidR="00AA0A39" w:rsidRPr="00D632AC" w:rsidRDefault="0021562B" w:rsidP="009E0916">
      <w:pPr>
        <w:pStyle w:val="BodyText"/>
        <w:jc w:val="both"/>
        <w:rPr>
          <w:rFonts w:eastAsia="Georgia" w:cs="Georgia"/>
        </w:rPr>
      </w:pPr>
      <w:r w:rsidRPr="00D632AC">
        <w:rPr>
          <w:rFonts w:eastAsia="Georgia" w:cs="Georgia"/>
        </w:rPr>
        <w:t>The Feasibility Study further explains that the EPR is not likely to result in substitution in the pharmaceutical sector because such sector i</w:t>
      </w:r>
      <w:r w:rsidR="00F47A5C" w:rsidRPr="00D632AC">
        <w:rPr>
          <w:rFonts w:eastAsia="Georgia" w:cs="Georgia"/>
        </w:rPr>
        <w:t>s “mainly focused on the efficiency and cost-effectiveness of treatments.</w:t>
      </w:r>
      <w:r w:rsidR="00BB5B6C" w:rsidRPr="00D632AC">
        <w:rPr>
          <w:rFonts w:eastAsia="Georgia" w:cs="Georgia"/>
        </w:rPr>
        <w:t xml:space="preserve"> </w:t>
      </w:r>
      <w:r w:rsidR="00F47A5C" w:rsidRPr="00D632AC">
        <w:rPr>
          <w:rFonts w:eastAsia="Georgia" w:cs="Georgia"/>
        </w:rPr>
        <w:t xml:space="preserve">Moreover, the time required for research and innovation is generally several years (5.5 years on average), and the number of substances to be tested before making the final selection is significant (between 5,000 to 10,000 medicinal candidates for a selection of 10 to 20 final candidates). </w:t>
      </w:r>
      <w:r w:rsidR="00BB5B6C" w:rsidRPr="00D632AC">
        <w:rPr>
          <w:rFonts w:eastAsia="Georgia" w:cs="Georgia"/>
        </w:rPr>
        <w:t xml:space="preserve"> </w:t>
      </w:r>
      <w:r w:rsidR="00F47A5C" w:rsidRPr="00D632AC">
        <w:rPr>
          <w:rFonts w:eastAsia="Georgia" w:cs="Georgia"/>
        </w:rPr>
        <w:t>Finally, the sector has a complex value chain</w:t>
      </w:r>
      <w:r w:rsidR="00AA0A39" w:rsidRPr="00D632AC">
        <w:rPr>
          <w:rFonts w:eastAsia="Georgia" w:cs="Georgia"/>
        </w:rPr>
        <w:t>.</w:t>
      </w:r>
      <w:r w:rsidR="00F47A5C" w:rsidRPr="00D632AC">
        <w:rPr>
          <w:rFonts w:eastAsia="Georgia" w:cs="Georgia"/>
        </w:rPr>
        <w:t>”</w:t>
      </w:r>
      <w:r w:rsidR="00F47A5C" w:rsidRPr="00D632AC">
        <w:rPr>
          <w:rStyle w:val="FootnoteReference"/>
          <w:rFonts w:eastAsia="Georgia" w:cs="Georgia"/>
        </w:rPr>
        <w:footnoteReference w:id="27"/>
      </w:r>
      <w:r w:rsidR="00F47A5C" w:rsidRPr="00D632AC">
        <w:rPr>
          <w:rFonts w:eastAsia="Georgia" w:cs="Georgia"/>
        </w:rPr>
        <w:t xml:space="preserve">  </w:t>
      </w:r>
      <w:r w:rsidR="00AA0A39" w:rsidRPr="00D632AC">
        <w:rPr>
          <w:rFonts w:eastAsia="Georgia" w:cs="Georgia"/>
        </w:rPr>
        <w:t xml:space="preserve">The Study adds that the </w:t>
      </w:r>
      <w:r w:rsidR="009865E3">
        <w:rPr>
          <w:rFonts w:eastAsia="Georgia" w:cs="Georgia"/>
        </w:rPr>
        <w:t>E</w:t>
      </w:r>
      <w:r w:rsidR="00AA0A39" w:rsidRPr="00D632AC">
        <w:rPr>
          <w:rFonts w:eastAsia="Georgia" w:cs="Georgia"/>
        </w:rPr>
        <w:t xml:space="preserve">PR system “is unlikely to significantly </w:t>
      </w:r>
      <w:proofErr w:type="spellStart"/>
      <w:r w:rsidR="00AA0A39" w:rsidRPr="00D632AC">
        <w:rPr>
          <w:rFonts w:eastAsia="Georgia" w:cs="Georgia"/>
        </w:rPr>
        <w:t>incentivise</w:t>
      </w:r>
      <w:proofErr w:type="spellEnd"/>
      <w:r w:rsidR="00AA0A39" w:rsidRPr="00D632AC">
        <w:rPr>
          <w:rFonts w:eastAsia="Georgia" w:cs="Georgia"/>
        </w:rPr>
        <w:t xml:space="preserve"> the substitution of </w:t>
      </w:r>
      <w:r w:rsidR="00AA0A39" w:rsidRPr="00D632AC">
        <w:rPr>
          <w:rFonts w:eastAsia="Georgia" w:cs="Georgia"/>
        </w:rPr>
        <w:lastRenderedPageBreak/>
        <w:t>pharmaceuticals in short- to medium-term, considering their specific innovation cycles and the priority of therapeutical activity in identifying eligible substances.”</w:t>
      </w:r>
      <w:r w:rsidR="00AA0A39" w:rsidRPr="00D632AC">
        <w:rPr>
          <w:rStyle w:val="FootnoteReference"/>
          <w:rFonts w:eastAsia="Georgia" w:cs="Georgia"/>
        </w:rPr>
        <w:footnoteReference w:id="28"/>
      </w:r>
    </w:p>
    <w:p w14:paraId="2C40ADD5" w14:textId="0E4A7B0C" w:rsidR="00AA0A39" w:rsidRPr="00D632AC" w:rsidRDefault="00AA0A39" w:rsidP="009E0916">
      <w:pPr>
        <w:pStyle w:val="BodyText"/>
        <w:jc w:val="both"/>
        <w:rPr>
          <w:rFonts w:eastAsia="Georgia" w:cs="Georgia"/>
        </w:rPr>
      </w:pPr>
      <w:r w:rsidRPr="00D632AC">
        <w:rPr>
          <w:rFonts w:eastAsia="Georgia" w:cs="Georgia"/>
        </w:rPr>
        <w:t>Furthermore,</w:t>
      </w:r>
      <w:r w:rsidR="00202EB0" w:rsidRPr="00D632AC">
        <w:rPr>
          <w:rFonts w:eastAsia="Georgia" w:cs="Georgia"/>
        </w:rPr>
        <w:t xml:space="preserve"> the</w:t>
      </w:r>
      <w:r w:rsidRPr="00D632AC">
        <w:rPr>
          <w:rFonts w:eastAsia="Georgia" w:cs="Georgia"/>
        </w:rPr>
        <w:t xml:space="preserve"> Feasibility Study and the Commission’s Impact Assessment do not provide any evidence that there are</w:t>
      </w:r>
      <w:r w:rsidRPr="00D632AC">
        <w:t xml:space="preserve"> alternatives available to replace the </w:t>
      </w:r>
      <w:r w:rsidR="00ED7891">
        <w:t xml:space="preserve">APIs </w:t>
      </w:r>
      <w:r w:rsidRPr="00D632AC">
        <w:t xml:space="preserve">that result in micropollutants in </w:t>
      </w:r>
      <w:r w:rsidR="002636F6">
        <w:t>waste</w:t>
      </w:r>
      <w:r w:rsidRPr="00D632AC">
        <w:t xml:space="preserve">waters without compromising patient safety and efficacy.  </w:t>
      </w:r>
      <w:r w:rsidR="009865E3">
        <w:t>In effect, a</w:t>
      </w:r>
      <w:r w:rsidR="006A2287" w:rsidRPr="00D632AC">
        <w:t xml:space="preserve">s shown by the </w:t>
      </w:r>
      <w:r w:rsidR="00202EB0" w:rsidRPr="00D632AC">
        <w:t>chemical</w:t>
      </w:r>
      <w:r w:rsidR="006A2287" w:rsidRPr="00D632AC">
        <w:t xml:space="preserve"> assessment of pharmaceutical ingredients by the European Chemicals Agency under the REACH Regulation and other EU chemicals legislation, the identification and development of alternative ingredients </w:t>
      </w:r>
      <w:r w:rsidR="009865E3">
        <w:t xml:space="preserve">for </w:t>
      </w:r>
      <w:r w:rsidR="006A2287" w:rsidRPr="00D632AC">
        <w:t>human medicines is a long hit</w:t>
      </w:r>
      <w:r w:rsidR="00576F39" w:rsidRPr="00D632AC">
        <w:t>-</w:t>
      </w:r>
      <w:r w:rsidR="006A2287" w:rsidRPr="00D632AC">
        <w:t>and</w:t>
      </w:r>
      <w:r w:rsidR="00576F39" w:rsidRPr="00D632AC">
        <w:t>-</w:t>
      </w:r>
      <w:r w:rsidR="006A2287" w:rsidRPr="00D632AC">
        <w:t xml:space="preserve">miss process that will </w:t>
      </w:r>
      <w:r w:rsidR="00202EB0" w:rsidRPr="00D632AC">
        <w:t>typically</w:t>
      </w:r>
      <w:r w:rsidR="006A2287" w:rsidRPr="00D632AC">
        <w:t xml:space="preserve"> take more than </w:t>
      </w:r>
      <w:r w:rsidR="005662F9" w:rsidRPr="00D632AC">
        <w:t>a</w:t>
      </w:r>
      <w:r w:rsidR="006A2287" w:rsidRPr="00D632AC">
        <w:t xml:space="preserve"> decade and it is also subject to stringent requirements and long market authorization deadlines under the EU Human Medicines Code.</w:t>
      </w:r>
      <w:r w:rsidR="006A2287" w:rsidRPr="00D632AC">
        <w:rPr>
          <w:rStyle w:val="FootnoteReference"/>
        </w:rPr>
        <w:footnoteReference w:id="29"/>
      </w:r>
    </w:p>
    <w:p w14:paraId="485987F7" w14:textId="77777777" w:rsidR="00F47A5C" w:rsidRPr="00D632AC" w:rsidRDefault="00AA0A39" w:rsidP="009E0916">
      <w:pPr>
        <w:pStyle w:val="BodyText"/>
        <w:jc w:val="both"/>
        <w:rPr>
          <w:rFonts w:eastAsia="Georgia" w:cs="Georgia"/>
        </w:rPr>
      </w:pPr>
      <w:r w:rsidRPr="00D632AC">
        <w:rPr>
          <w:rFonts w:eastAsia="Georgia" w:cs="Georgia"/>
        </w:rPr>
        <w:t xml:space="preserve">Thus, the EPR obligation on producers of human medicines is </w:t>
      </w:r>
      <w:r w:rsidR="0045661C" w:rsidRPr="00D632AC">
        <w:rPr>
          <w:rFonts w:eastAsia="Georgia" w:cs="Georgia"/>
        </w:rPr>
        <w:t xml:space="preserve">not </w:t>
      </w:r>
      <w:r w:rsidR="00AE2436">
        <w:rPr>
          <w:rFonts w:eastAsia="Georgia" w:cs="Georgia"/>
        </w:rPr>
        <w:t xml:space="preserve">an </w:t>
      </w:r>
      <w:r w:rsidR="0045661C" w:rsidRPr="00D632AC">
        <w:rPr>
          <w:rFonts w:eastAsia="Georgia" w:cs="Georgia"/>
        </w:rPr>
        <w:t xml:space="preserve">appropriate </w:t>
      </w:r>
      <w:r w:rsidR="00AE2436">
        <w:rPr>
          <w:rFonts w:eastAsia="Georgia" w:cs="Georgia"/>
        </w:rPr>
        <w:t xml:space="preserve">mechanism </w:t>
      </w:r>
      <w:r w:rsidR="0045661C" w:rsidRPr="00D632AC">
        <w:rPr>
          <w:rFonts w:eastAsia="Georgia" w:cs="Georgia"/>
        </w:rPr>
        <w:t>to incentivize producers to substitute their substances and products that generate micropollutant residues in urban wastewater.</w:t>
      </w:r>
    </w:p>
    <w:p w14:paraId="2DC1E26D" w14:textId="77777777" w:rsidR="003A2829" w:rsidRPr="009241BD" w:rsidRDefault="00202EB0" w:rsidP="009E0916">
      <w:pPr>
        <w:pStyle w:val="Heading3"/>
        <w:jc w:val="both"/>
        <w:rPr>
          <w:b/>
          <w:bCs/>
        </w:rPr>
      </w:pPr>
      <w:r w:rsidRPr="009241BD">
        <w:rPr>
          <w:b/>
          <w:bCs/>
        </w:rPr>
        <w:t xml:space="preserve">The UWWTD Imposes </w:t>
      </w:r>
      <w:r w:rsidR="00453ABD" w:rsidRPr="009241BD">
        <w:rPr>
          <w:b/>
          <w:bCs/>
        </w:rPr>
        <w:t xml:space="preserve">an </w:t>
      </w:r>
      <w:r w:rsidR="00453ABD" w:rsidRPr="009241BD">
        <w:rPr>
          <w:rFonts w:eastAsia="Georgia" w:cs="Georgia"/>
          <w:b/>
          <w:bCs/>
        </w:rPr>
        <w:t>Excessive Burden</w:t>
      </w:r>
      <w:r w:rsidR="00453ABD" w:rsidRPr="009241BD">
        <w:rPr>
          <w:b/>
          <w:bCs/>
        </w:rPr>
        <w:t xml:space="preserve"> </w:t>
      </w:r>
      <w:r w:rsidRPr="009241BD">
        <w:rPr>
          <w:b/>
          <w:bCs/>
        </w:rPr>
        <w:t>on Individual Producers of Human Medicines</w:t>
      </w:r>
    </w:p>
    <w:p w14:paraId="02184552" w14:textId="4FA4775F" w:rsidR="00650520" w:rsidRPr="00D632AC" w:rsidRDefault="00202EB0" w:rsidP="009E0916">
      <w:pPr>
        <w:pStyle w:val="BodyText"/>
        <w:jc w:val="both"/>
        <w:rPr>
          <w:rFonts w:eastAsia="Georgia" w:cs="Georgia"/>
        </w:rPr>
      </w:pPr>
      <w:r w:rsidRPr="00E3593C">
        <w:rPr>
          <w:rFonts w:eastAsia="Georgia" w:cs="Georgia"/>
        </w:rPr>
        <w:t>The Directive’s EPR obligation</w:t>
      </w:r>
      <w:r w:rsidR="009865E3" w:rsidRPr="00E3593C">
        <w:rPr>
          <w:rFonts w:eastAsia="Georgia" w:cs="Georgia"/>
        </w:rPr>
        <w:t>s impose</w:t>
      </w:r>
      <w:r w:rsidRPr="00E3593C">
        <w:rPr>
          <w:rFonts w:eastAsia="Georgia" w:cs="Georgia"/>
        </w:rPr>
        <w:t xml:space="preserve"> on producers of human medicines a burden that is excessive in relation to its claimed objectives,</w:t>
      </w:r>
      <w:r w:rsidRPr="00E3593C">
        <w:rPr>
          <w:rFonts w:eastAsia="Georgia" w:cs="Georgia"/>
          <w:i/>
          <w:iCs/>
        </w:rPr>
        <w:t xml:space="preserve"> i.e.</w:t>
      </w:r>
      <w:r w:rsidRPr="00E3593C">
        <w:rPr>
          <w:rFonts w:eastAsia="Georgia" w:cs="Georgia"/>
        </w:rPr>
        <w:t>, make polluter</w:t>
      </w:r>
      <w:r w:rsidR="002636F6" w:rsidRPr="00E3593C">
        <w:rPr>
          <w:rFonts w:eastAsia="Georgia" w:cs="Georgia"/>
        </w:rPr>
        <w:t>s</w:t>
      </w:r>
      <w:r w:rsidRPr="00E3593C">
        <w:rPr>
          <w:rFonts w:eastAsia="Georgia" w:cs="Georgia"/>
        </w:rPr>
        <w:t xml:space="preserve"> pay and incentivize the</w:t>
      </w:r>
      <w:r w:rsidR="001C7964" w:rsidRPr="00E3593C">
        <w:rPr>
          <w:rFonts w:eastAsia="Georgia" w:cs="Georgia"/>
        </w:rPr>
        <w:t xml:space="preserve"> substitution of </w:t>
      </w:r>
      <w:r w:rsidR="00650520" w:rsidRPr="00E3593C">
        <w:rPr>
          <w:rFonts w:eastAsia="Georgia" w:cs="Georgia"/>
        </w:rPr>
        <w:t xml:space="preserve">human medicines, as it fails to </w:t>
      </w:r>
      <w:r w:rsidR="0022391B" w:rsidRPr="00E3593C">
        <w:rPr>
          <w:rFonts w:eastAsia="Georgia" w:cs="Georgia"/>
        </w:rPr>
        <w:t>consider</w:t>
      </w:r>
      <w:r w:rsidR="00650520" w:rsidRPr="00E3593C">
        <w:rPr>
          <w:rFonts w:eastAsia="Georgia" w:cs="Georgia"/>
        </w:rPr>
        <w:t xml:space="preserve"> the social contribution of human medicines and puts at risk their affordability and accessibility</w:t>
      </w:r>
      <w:r w:rsidR="009865E3" w:rsidRPr="00E3593C">
        <w:rPr>
          <w:rFonts w:eastAsia="Georgia" w:cs="Georgia"/>
        </w:rPr>
        <w:t xml:space="preserve"> and the EU’s strategic pharmaceutical supply chain autonomy.</w:t>
      </w:r>
    </w:p>
    <w:p w14:paraId="78280678" w14:textId="1044E8FE" w:rsidR="00A90785" w:rsidRPr="00D632AC" w:rsidRDefault="001C7964" w:rsidP="009E0916">
      <w:pPr>
        <w:pStyle w:val="BodyText"/>
        <w:jc w:val="both"/>
        <w:rPr>
          <w:rFonts w:eastAsia="Georgia" w:cs="Georgia"/>
        </w:rPr>
      </w:pPr>
      <w:r w:rsidRPr="00E3593C">
        <w:rPr>
          <w:rFonts w:eastAsia="Georgia" w:cs="Georgia"/>
        </w:rPr>
        <w:t xml:space="preserve">As explained above, the EPR obligation will require individual producers of human medicines </w:t>
      </w:r>
      <w:r w:rsidR="00A90785" w:rsidRPr="00E3593C">
        <w:rPr>
          <w:rFonts w:eastAsia="Georgia" w:cs="Georgia"/>
        </w:rPr>
        <w:t xml:space="preserve">to </w:t>
      </w:r>
      <w:r w:rsidRPr="00E3593C">
        <w:rPr>
          <w:rFonts w:eastAsia="Georgia" w:cs="Georgia"/>
        </w:rPr>
        <w:t>pay significantly more than in proportion to their product</w:t>
      </w:r>
      <w:r w:rsidR="00576F39" w:rsidRPr="00E3593C">
        <w:rPr>
          <w:rFonts w:eastAsia="Georgia" w:cs="Georgia"/>
        </w:rPr>
        <w:t>s</w:t>
      </w:r>
      <w:r w:rsidRPr="00E3593C">
        <w:rPr>
          <w:rFonts w:eastAsia="Georgia" w:cs="Georgia"/>
        </w:rPr>
        <w:t>’ contribution to micropollutants in wastewaters</w:t>
      </w:r>
      <w:r w:rsidRPr="009D3F0B">
        <w:rPr>
          <w:rFonts w:eastAsia="Georgia" w:cs="Georgia"/>
        </w:rPr>
        <w:t>.</w:t>
      </w:r>
      <w:r w:rsidRPr="00D632AC">
        <w:rPr>
          <w:rFonts w:eastAsia="Georgia" w:cs="Georgia"/>
        </w:rPr>
        <w:t xml:space="preserve">  In addition, as the costs will fall only on those producers </w:t>
      </w:r>
      <w:r w:rsidR="002E5D69">
        <w:rPr>
          <w:rFonts w:eastAsia="Georgia" w:cs="Georgia"/>
        </w:rPr>
        <w:t>of</w:t>
      </w:r>
      <w:r w:rsidRPr="00D632AC">
        <w:rPr>
          <w:rFonts w:eastAsia="Georgia" w:cs="Georgia"/>
        </w:rPr>
        <w:t xml:space="preserve"> human medicines that are not ex</w:t>
      </w:r>
      <w:r w:rsidR="000929B3">
        <w:rPr>
          <w:rFonts w:eastAsia="Georgia" w:cs="Georgia"/>
        </w:rPr>
        <w:t>onerated</w:t>
      </w:r>
      <w:r w:rsidRPr="00D632AC">
        <w:rPr>
          <w:rFonts w:eastAsia="Georgia" w:cs="Georgia"/>
        </w:rPr>
        <w:t xml:space="preserve"> under Article 9(2), t</w:t>
      </w:r>
      <w:r w:rsidR="00650520" w:rsidRPr="00D632AC">
        <w:rPr>
          <w:rFonts w:eastAsia="Georgia" w:cs="Georgia"/>
        </w:rPr>
        <w:t xml:space="preserve">hey will have a significant impact on the costs of at least some human medicines.  Thus, </w:t>
      </w:r>
      <w:r w:rsidR="00456C3F" w:rsidRPr="00D632AC">
        <w:rPr>
          <w:rFonts w:eastAsia="Georgia" w:cs="Georgia"/>
        </w:rPr>
        <w:t>c</w:t>
      </w:r>
      <w:r w:rsidR="006956EC" w:rsidRPr="00D632AC">
        <w:rPr>
          <w:rFonts w:eastAsia="Georgia" w:cs="Georgia"/>
        </w:rPr>
        <w:t xml:space="preserve">ontrary to what Recital 21 of the </w:t>
      </w:r>
      <w:r w:rsidR="00C40EDC">
        <w:rPr>
          <w:rFonts w:eastAsia="Georgia" w:cs="Georgia"/>
        </w:rPr>
        <w:t>Directive</w:t>
      </w:r>
      <w:r w:rsidR="006956EC" w:rsidRPr="00D632AC">
        <w:rPr>
          <w:rFonts w:eastAsia="Georgia" w:cs="Georgia"/>
        </w:rPr>
        <w:t xml:space="preserve"> </w:t>
      </w:r>
      <w:r w:rsidR="00456C3F" w:rsidRPr="00D632AC">
        <w:rPr>
          <w:rFonts w:eastAsia="Georgia" w:cs="Georgia"/>
        </w:rPr>
        <w:t>claims</w:t>
      </w:r>
      <w:r w:rsidR="006956EC" w:rsidRPr="00D632AC">
        <w:rPr>
          <w:rFonts w:eastAsia="Georgia" w:cs="Georgia"/>
        </w:rPr>
        <w:t>,</w:t>
      </w:r>
      <w:r w:rsidR="006956EC" w:rsidRPr="00D632AC">
        <w:rPr>
          <w:rStyle w:val="FootnoteReference"/>
          <w:rFonts w:eastAsia="Georgia" w:cs="Georgia"/>
        </w:rPr>
        <w:footnoteReference w:id="30"/>
      </w:r>
      <w:r w:rsidR="006956EC" w:rsidRPr="00D632AC">
        <w:rPr>
          <w:rFonts w:eastAsia="Georgia" w:cs="Georgia"/>
        </w:rPr>
        <w:t xml:space="preserve"> </w:t>
      </w:r>
      <w:r w:rsidR="00C0047E" w:rsidRPr="00D632AC">
        <w:rPr>
          <w:rFonts w:eastAsia="Georgia" w:cs="Georgia"/>
        </w:rPr>
        <w:t xml:space="preserve">the </w:t>
      </w:r>
      <w:r w:rsidR="00C40EDC">
        <w:rPr>
          <w:rFonts w:eastAsia="Georgia" w:cs="Georgia"/>
        </w:rPr>
        <w:t>UWWTD</w:t>
      </w:r>
      <w:r w:rsidR="00C0047E" w:rsidRPr="00D632AC">
        <w:rPr>
          <w:rFonts w:eastAsia="Georgia" w:cs="Georgia"/>
        </w:rPr>
        <w:t xml:space="preserve"> </w:t>
      </w:r>
      <w:r w:rsidR="009865E3">
        <w:rPr>
          <w:rFonts w:eastAsia="Georgia" w:cs="Georgia"/>
        </w:rPr>
        <w:t>is very likely to</w:t>
      </w:r>
      <w:r w:rsidR="00C0047E" w:rsidRPr="00D632AC">
        <w:rPr>
          <w:rFonts w:eastAsia="Georgia" w:cs="Georgia"/>
        </w:rPr>
        <w:t xml:space="preserve"> impose disproportionate </w:t>
      </w:r>
      <w:r w:rsidR="00456C3F" w:rsidRPr="00D632AC">
        <w:rPr>
          <w:rFonts w:eastAsia="Georgia" w:cs="Georgia"/>
        </w:rPr>
        <w:t>costs</w:t>
      </w:r>
      <w:r w:rsidR="00C0047E" w:rsidRPr="00D632AC">
        <w:rPr>
          <w:rFonts w:eastAsia="Georgia" w:cs="Georgia"/>
        </w:rPr>
        <w:t xml:space="preserve"> on specific producers of human medicines, </w:t>
      </w:r>
      <w:r w:rsidR="005A7976">
        <w:rPr>
          <w:rFonts w:eastAsia="Georgia" w:cs="Georgia"/>
        </w:rPr>
        <w:t xml:space="preserve">and </w:t>
      </w:r>
      <w:r w:rsidR="00456C3F" w:rsidRPr="00D632AC">
        <w:rPr>
          <w:rFonts w:eastAsia="Georgia" w:cs="Georgia"/>
        </w:rPr>
        <w:t>it will</w:t>
      </w:r>
      <w:r w:rsidR="002E5D69">
        <w:rPr>
          <w:rFonts w:eastAsia="Georgia" w:cs="Georgia"/>
        </w:rPr>
        <w:t xml:space="preserve"> thus</w:t>
      </w:r>
      <w:r w:rsidR="00456C3F" w:rsidRPr="00D632AC">
        <w:rPr>
          <w:rFonts w:eastAsia="Georgia" w:cs="Georgia"/>
        </w:rPr>
        <w:t xml:space="preserve"> </w:t>
      </w:r>
      <w:r w:rsidR="00576F39" w:rsidRPr="00D632AC">
        <w:rPr>
          <w:rFonts w:eastAsia="Georgia" w:cs="Georgia"/>
        </w:rPr>
        <w:t>jeopardize</w:t>
      </w:r>
      <w:r w:rsidR="00456C3F" w:rsidRPr="00D632AC">
        <w:rPr>
          <w:rFonts w:eastAsia="Georgia" w:cs="Georgia"/>
        </w:rPr>
        <w:t xml:space="preserve"> the affordability and accessibility</w:t>
      </w:r>
      <w:r w:rsidR="00C0047E" w:rsidRPr="00D632AC">
        <w:rPr>
          <w:rFonts w:eastAsia="Georgia" w:cs="Georgia"/>
        </w:rPr>
        <w:t xml:space="preserve"> of their products.</w:t>
      </w:r>
    </w:p>
    <w:p w14:paraId="328D25D4" w14:textId="4EE635EC" w:rsidR="00176650" w:rsidRPr="00D632AC" w:rsidRDefault="00C0047E" w:rsidP="009E0916">
      <w:pPr>
        <w:pStyle w:val="BodyText"/>
        <w:jc w:val="both"/>
      </w:pPr>
      <w:r w:rsidRPr="00D632AC">
        <w:rPr>
          <w:rFonts w:eastAsia="Georgia" w:cs="Georgia"/>
        </w:rPr>
        <w:t xml:space="preserve">In particular, the Feasibility Study and Impact Assessment </w:t>
      </w:r>
      <w:r w:rsidR="000C70B3" w:rsidRPr="00D632AC">
        <w:rPr>
          <w:rFonts w:eastAsia="Georgia" w:cs="Georgia"/>
        </w:rPr>
        <w:t>underestimate</w:t>
      </w:r>
      <w:r w:rsidR="009865E3">
        <w:rPr>
          <w:rFonts w:eastAsia="Georgia" w:cs="Georgia"/>
        </w:rPr>
        <w:t>d</w:t>
      </w:r>
      <w:r w:rsidRPr="00D632AC">
        <w:rPr>
          <w:rFonts w:eastAsia="Georgia" w:cs="Georgia"/>
        </w:rPr>
        <w:t xml:space="preserve"> the impact of the EPR obligations on </w:t>
      </w:r>
      <w:proofErr w:type="gramStart"/>
      <w:r w:rsidRPr="00D632AC">
        <w:rPr>
          <w:rFonts w:eastAsia="Georgia" w:cs="Georgia"/>
        </w:rPr>
        <w:t>particular human</w:t>
      </w:r>
      <w:proofErr w:type="gramEnd"/>
      <w:r w:rsidRPr="00D632AC">
        <w:rPr>
          <w:rFonts w:eastAsia="Georgia" w:cs="Georgia"/>
        </w:rPr>
        <w:t xml:space="preserve"> medicines.  </w:t>
      </w:r>
      <w:r w:rsidRPr="00D632AC">
        <w:t xml:space="preserve">The Feasibility </w:t>
      </w:r>
      <w:r w:rsidR="00576F39" w:rsidRPr="00D632AC">
        <w:t xml:space="preserve">Study </w:t>
      </w:r>
      <w:r w:rsidRPr="00D632AC">
        <w:t>states that “if passed on consumers through a price increase, the EPR costs could induce a relative price increase of 0.09 to 2.34% of individual expenditure in the pharmaceutical sector.”</w:t>
      </w:r>
      <w:r w:rsidRPr="00D632AC">
        <w:rPr>
          <w:rStyle w:val="FootnoteReference"/>
        </w:rPr>
        <w:footnoteReference w:id="31"/>
      </w:r>
      <w:r w:rsidRPr="00D632AC">
        <w:t xml:space="preserve">  </w:t>
      </w:r>
      <w:r w:rsidR="00445000" w:rsidRPr="00D632AC">
        <w:t>It also explains that</w:t>
      </w:r>
      <w:r w:rsidR="00FB778C" w:rsidRPr="00D632AC">
        <w:t xml:space="preserve"> if the costs are not passed on consumers,</w:t>
      </w:r>
      <w:r w:rsidR="00445000" w:rsidRPr="00D632AC">
        <w:t xml:space="preserve"> the obligations will result in an increase of costs of 0,6% for the production of human medicines and cosmetic products and a 0,7% average decrease of profit margin</w:t>
      </w:r>
      <w:r w:rsidR="00176650" w:rsidRPr="00D632AC">
        <w:t>.</w:t>
      </w:r>
    </w:p>
    <w:p w14:paraId="6BF106B6" w14:textId="7E70C6F5" w:rsidR="00176650" w:rsidRPr="00D632AC" w:rsidRDefault="00C0047E" w:rsidP="009E0916">
      <w:pPr>
        <w:pStyle w:val="BodyText"/>
        <w:jc w:val="both"/>
      </w:pPr>
      <w:r w:rsidRPr="00E3593C">
        <w:t>However,</w:t>
      </w:r>
      <w:r w:rsidR="00176650" w:rsidRPr="00E3593C">
        <w:t xml:space="preserve"> </w:t>
      </w:r>
      <w:r w:rsidR="009865E3" w:rsidRPr="00E3593C">
        <w:t xml:space="preserve">these assessments </w:t>
      </w:r>
      <w:r w:rsidR="00176650" w:rsidRPr="00E3593C">
        <w:t xml:space="preserve">fail to </w:t>
      </w:r>
      <w:proofErr w:type="gramStart"/>
      <w:r w:rsidR="00176650" w:rsidRPr="00E3593C">
        <w:t>take into account</w:t>
      </w:r>
      <w:proofErr w:type="gramEnd"/>
      <w:r w:rsidR="00176650" w:rsidRPr="00E3593C">
        <w:t xml:space="preserve"> that the costs</w:t>
      </w:r>
      <w:r w:rsidR="00456C3F" w:rsidRPr="00E3593C">
        <w:t xml:space="preserve"> will</w:t>
      </w:r>
      <w:r w:rsidR="00176650" w:rsidRPr="00E3593C">
        <w:t xml:space="preserve"> not be allocated evenly among all producers of human medicines that may result in micropollutants.  </w:t>
      </w:r>
      <w:r w:rsidR="005A7976" w:rsidRPr="00E3593C">
        <w:t xml:space="preserve">For those </w:t>
      </w:r>
      <w:r w:rsidR="005A7976" w:rsidRPr="00E3593C">
        <w:lastRenderedPageBreak/>
        <w:t>producers of human medicines whose products are not e</w:t>
      </w:r>
      <w:r w:rsidR="000929B3" w:rsidRPr="00E3593C">
        <w:t>xonerated</w:t>
      </w:r>
      <w:r w:rsidR="005A7976" w:rsidRPr="00E3593C">
        <w:t xml:space="preserve"> under Article 9(2) of the Directive, </w:t>
      </w:r>
      <w:r w:rsidR="00176650" w:rsidRPr="00E3593C">
        <w:t xml:space="preserve">it is more likely that the </w:t>
      </w:r>
      <w:r w:rsidR="002E5D69" w:rsidRPr="00E3593C">
        <w:t xml:space="preserve">added </w:t>
      </w:r>
      <w:r w:rsidR="00176650" w:rsidRPr="00E3593C">
        <w:t>average product costs could increase by 2.8 to 4.9% and decreased average profit margin could be 3.2 to 5.7%.</w:t>
      </w:r>
    </w:p>
    <w:p w14:paraId="189B6603" w14:textId="2B93D341" w:rsidR="00C0047E" w:rsidRPr="00D632AC" w:rsidRDefault="00FC26EA" w:rsidP="009E0916">
      <w:pPr>
        <w:pStyle w:val="BodyText"/>
        <w:jc w:val="both"/>
        <w:rPr>
          <w:rFonts w:eastAsia="Georgia" w:cs="Georgia"/>
        </w:rPr>
      </w:pPr>
      <w:r w:rsidRPr="00D632AC">
        <w:t xml:space="preserve">Thus, despite the claims of Recital 21 of the UWWTD that the EPR obligation will not endanger the affordability and availability of human medicines, there is a significant risk it will do exactly that at least with respect to some products.  </w:t>
      </w:r>
      <w:r w:rsidR="009865E3">
        <w:t xml:space="preserve">This risk is even recognized by Article 10 of the UWWTD as it requires the Commission to ensure an exchange of information on such risks among Member States.  </w:t>
      </w:r>
      <w:r w:rsidR="00453ABD" w:rsidRPr="00D632AC">
        <w:t>In effect, th</w:t>
      </w:r>
      <w:r w:rsidR="009865E3">
        <w:t>e excessive burden that the UWWTD’s EPR obligations impose on producers of human medicines</w:t>
      </w:r>
      <w:r w:rsidR="00453ABD" w:rsidRPr="00D632AC">
        <w:t xml:space="preserve"> </w:t>
      </w:r>
      <w:r w:rsidR="00456C3F" w:rsidRPr="00D632AC">
        <w:t>contradicts the</w:t>
      </w:r>
      <w:r w:rsidR="003E537E">
        <w:t xml:space="preserve"> basic</w:t>
      </w:r>
      <w:r w:rsidR="00456C3F" w:rsidRPr="00D632AC">
        <w:t xml:space="preserve"> principle</w:t>
      </w:r>
      <w:r w:rsidR="003E537E">
        <w:t xml:space="preserve"> of the EU that it</w:t>
      </w:r>
      <w:r w:rsidR="00456C3F" w:rsidRPr="00D632AC">
        <w:t xml:space="preserve"> </w:t>
      </w:r>
      <w:r w:rsidR="003E537E">
        <w:t>should</w:t>
      </w:r>
      <w:r w:rsidR="00456C3F" w:rsidRPr="00D632AC">
        <w:t xml:space="preserve"> not impeded the access to</w:t>
      </w:r>
      <w:r w:rsidR="00453ABD" w:rsidRPr="00D632AC">
        <w:t xml:space="preserve"> medicinal products or their affordability and availability</w:t>
      </w:r>
      <w:r w:rsidR="003E537E">
        <w:t>, as</w:t>
      </w:r>
      <w:r w:rsidR="00453ABD" w:rsidRPr="00D632AC">
        <w:t xml:space="preserve"> reflected in Article 168(1) of the TFEU.</w:t>
      </w:r>
      <w:r w:rsidR="00453ABD" w:rsidRPr="00D632AC">
        <w:rPr>
          <w:rStyle w:val="FootnoteReference"/>
        </w:rPr>
        <w:footnoteReference w:id="32"/>
      </w:r>
    </w:p>
    <w:p w14:paraId="1CA5382A" w14:textId="00624663" w:rsidR="00974CC9" w:rsidRPr="00D632AC" w:rsidRDefault="005A7976" w:rsidP="009E0916">
      <w:pPr>
        <w:pStyle w:val="BodyText"/>
        <w:jc w:val="both"/>
      </w:pPr>
      <w:r w:rsidRPr="00E3593C">
        <w:t>The importance that the EU give</w:t>
      </w:r>
      <w:r w:rsidR="003E537E" w:rsidRPr="00E3593C">
        <w:t>s</w:t>
      </w:r>
      <w:r w:rsidRPr="00E3593C">
        <w:t xml:space="preserve"> to the social contribution of human medicines also highlights how </w:t>
      </w:r>
      <w:r w:rsidR="00453ABD" w:rsidRPr="00E3593C">
        <w:t xml:space="preserve">the UWWTD imposes </w:t>
      </w:r>
      <w:r w:rsidRPr="00E3593C">
        <w:t xml:space="preserve">an excessive burden </w:t>
      </w:r>
      <w:r w:rsidR="00453ABD" w:rsidRPr="00E3593C">
        <w:t>on producers of human medicines</w:t>
      </w:r>
      <w:r w:rsidR="00EF6A04" w:rsidRPr="00E3593C">
        <w:t>.</w:t>
      </w:r>
      <w:r w:rsidR="00EF6A04" w:rsidRPr="00D632AC">
        <w:t xml:space="preserve">  </w:t>
      </w:r>
      <w:r w:rsidR="000C37BB" w:rsidRPr="00D632AC">
        <w:t xml:space="preserve">For example, in its recent Communication </w:t>
      </w:r>
      <w:r>
        <w:t>“</w:t>
      </w:r>
      <w:r w:rsidRPr="005A7976">
        <w:t>Guiding criteria and principles for the essential use concept in EU legislation dealing with chemicals”</w:t>
      </w:r>
      <w:r w:rsidR="000C37BB" w:rsidRPr="00D632AC">
        <w:t xml:space="preserve">, the Commission makes clear that “in the case of medicinal products for human […] use, […], the strategic autonomy of the Union and </w:t>
      </w:r>
      <w:r w:rsidR="000C37BB" w:rsidRPr="005A7976">
        <w:rPr>
          <w:u w:val="single"/>
        </w:rPr>
        <w:t>availability of substances used in the manufacturing of products for health applications must be given due priority</w:t>
      </w:r>
      <w:r w:rsidR="000C37BB" w:rsidRPr="00D632AC">
        <w:t xml:space="preserve">;” and that “[f]or uses that are essential for society [such as human medicines], the concept [of essential uses] can give companies certainty that </w:t>
      </w:r>
      <w:r w:rsidR="000C37BB" w:rsidRPr="005A7976">
        <w:rPr>
          <w:u w:val="single"/>
        </w:rPr>
        <w:t>substances otherwise targeted for phase-out can continue to be used to fulfil societal needs</w:t>
      </w:r>
      <w:r w:rsidR="000C37BB" w:rsidRPr="00D632AC">
        <w:t>, until alternatives are available”</w:t>
      </w:r>
      <w:r w:rsidR="00ED7891">
        <w:t xml:space="preserve"> (emphasis added).</w:t>
      </w:r>
      <w:r w:rsidR="000C37BB" w:rsidRPr="00D632AC">
        <w:rPr>
          <w:rStyle w:val="FootnoteReference"/>
        </w:rPr>
        <w:footnoteReference w:id="33"/>
      </w:r>
      <w:r>
        <w:t xml:space="preserve">  </w:t>
      </w:r>
      <w:r w:rsidR="000C37BB" w:rsidRPr="00D632AC">
        <w:t xml:space="preserve">Similarly, the Communication on the </w:t>
      </w:r>
      <w:r w:rsidR="00C0047E" w:rsidRPr="00D632AC">
        <w:t>European Union Strategic Approach to Pharmaceuticals in the Environment,</w:t>
      </w:r>
      <w:r w:rsidR="000C37BB" w:rsidRPr="00D632AC">
        <w:t xml:space="preserve"> which is mentioned in </w:t>
      </w:r>
      <w:r w:rsidR="00C0047E" w:rsidRPr="00D632AC">
        <w:t xml:space="preserve">Recital 18 of the UWWTD, states that “actions to address the risk [from pharmaceutical residues in the environment] do not </w:t>
      </w:r>
      <w:proofErr w:type="spellStart"/>
      <w:r w:rsidR="00C0047E" w:rsidRPr="00D632AC">
        <w:t>jeopardise</w:t>
      </w:r>
      <w:proofErr w:type="spellEnd"/>
      <w:r w:rsidR="00C0047E" w:rsidRPr="00D632AC">
        <w:t xml:space="preserve"> access to safe and effective pharmaceutical treatments for human patients and animals</w:t>
      </w:r>
      <w:r w:rsidR="006D7F4C" w:rsidRPr="00D632AC">
        <w:t>.</w:t>
      </w:r>
      <w:r w:rsidR="00C0047E" w:rsidRPr="00D632AC">
        <w:t>”</w:t>
      </w:r>
      <w:r w:rsidR="00C0047E" w:rsidRPr="00D632AC">
        <w:rPr>
          <w:rStyle w:val="FootnoteReference"/>
        </w:rPr>
        <w:footnoteReference w:id="34"/>
      </w:r>
    </w:p>
    <w:p w14:paraId="09686A25" w14:textId="77777777" w:rsidR="00515311" w:rsidRPr="00D632AC" w:rsidRDefault="006D7F4C" w:rsidP="009E0916">
      <w:pPr>
        <w:pStyle w:val="Heading2"/>
        <w:jc w:val="both"/>
        <w:rPr>
          <w:b/>
          <w:bCs/>
        </w:rPr>
      </w:pPr>
      <w:r w:rsidRPr="00D632AC">
        <w:rPr>
          <w:b/>
          <w:bCs/>
        </w:rPr>
        <w:t>The UWWTD Violates the EU Principle of Non-Discrimination</w:t>
      </w:r>
    </w:p>
    <w:p w14:paraId="05BCBA7A" w14:textId="65068C97" w:rsidR="00C22924" w:rsidRPr="00D632AC" w:rsidRDefault="00C22924" w:rsidP="009E0916">
      <w:pPr>
        <w:pStyle w:val="BodyText"/>
        <w:jc w:val="both"/>
        <w:rPr>
          <w:rFonts w:eastAsia="Times New Roman" w:cstheme="minorHAnsi"/>
        </w:rPr>
      </w:pPr>
      <w:r w:rsidRPr="00D632AC">
        <w:rPr>
          <w:rFonts w:eastAsia="Times New Roman" w:cstheme="minorHAnsi"/>
        </w:rPr>
        <w:t>The</w:t>
      </w:r>
      <w:r w:rsidR="006D7F4C" w:rsidRPr="00D632AC">
        <w:rPr>
          <w:rFonts w:eastAsia="Times New Roman" w:cstheme="minorHAnsi"/>
        </w:rPr>
        <w:t xml:space="preserve"> UWWTD</w:t>
      </w:r>
      <w:r w:rsidR="00ED7891">
        <w:rPr>
          <w:rFonts w:eastAsia="Times New Roman" w:cstheme="minorHAnsi"/>
        </w:rPr>
        <w:t>’s EPR obligations</w:t>
      </w:r>
      <w:r w:rsidR="006D7F4C" w:rsidRPr="00D632AC">
        <w:rPr>
          <w:rFonts w:eastAsia="Times New Roman" w:cstheme="minorHAnsi"/>
        </w:rPr>
        <w:t xml:space="preserve"> </w:t>
      </w:r>
      <w:r w:rsidR="00633837">
        <w:rPr>
          <w:rFonts w:eastAsia="Times New Roman" w:cstheme="minorHAnsi"/>
        </w:rPr>
        <w:t xml:space="preserve">also </w:t>
      </w:r>
      <w:r w:rsidR="006D7F4C" w:rsidRPr="00D632AC">
        <w:rPr>
          <w:rFonts w:eastAsia="Times New Roman" w:cstheme="minorHAnsi"/>
        </w:rPr>
        <w:t xml:space="preserve">violate the EU principle of non-discrimination because </w:t>
      </w:r>
      <w:r w:rsidR="00ED7891">
        <w:rPr>
          <w:rFonts w:eastAsia="Times New Roman" w:cstheme="minorHAnsi"/>
        </w:rPr>
        <w:t xml:space="preserve">they </w:t>
      </w:r>
      <w:r w:rsidR="006D7F4C" w:rsidRPr="00D632AC">
        <w:rPr>
          <w:rFonts w:eastAsia="Times New Roman" w:cstheme="minorHAnsi"/>
        </w:rPr>
        <w:t>make producers of human medicines and cosmetic products pay for at least 80% of the quaternary treatment of all micropollutants in wastewaters without considering the contribution of other products to such pollution.</w:t>
      </w:r>
    </w:p>
    <w:p w14:paraId="344A942A" w14:textId="28F206D2" w:rsidR="00515311" w:rsidRPr="00D632AC" w:rsidRDefault="00515311" w:rsidP="009E0916">
      <w:pPr>
        <w:pStyle w:val="BodyText"/>
        <w:jc w:val="both"/>
        <w:rPr>
          <w:rFonts w:cstheme="minorHAnsi"/>
        </w:rPr>
      </w:pPr>
      <w:r w:rsidRPr="00D632AC">
        <w:rPr>
          <w:rFonts w:eastAsia="Times New Roman" w:cstheme="minorHAnsi"/>
        </w:rPr>
        <w:t>The principle of equal treatment or non-discrimination is enshrined in Articles 20 and 21 of the EU Charter of Fundamental Rights.</w:t>
      </w:r>
      <w:r w:rsidRPr="00D632AC">
        <w:rPr>
          <w:rStyle w:val="FootnoteReference"/>
          <w:rFonts w:eastAsia="Times New Roman" w:cstheme="minorHAnsi"/>
        </w:rPr>
        <w:footnoteReference w:id="35"/>
      </w:r>
      <w:r w:rsidRPr="00D632AC">
        <w:rPr>
          <w:rFonts w:eastAsia="Times New Roman" w:cstheme="minorHAnsi"/>
        </w:rPr>
        <w:t xml:space="preserve"> </w:t>
      </w:r>
      <w:r w:rsidR="00D249FF" w:rsidRPr="00D632AC">
        <w:rPr>
          <w:rFonts w:eastAsia="Times New Roman" w:cstheme="minorHAnsi"/>
        </w:rPr>
        <w:t xml:space="preserve"> </w:t>
      </w:r>
      <w:r w:rsidRPr="00D632AC">
        <w:rPr>
          <w:rFonts w:eastAsia="Times New Roman" w:cstheme="minorHAnsi"/>
        </w:rPr>
        <w:t xml:space="preserve">The CJEU has </w:t>
      </w:r>
      <w:r w:rsidR="00ED7891">
        <w:rPr>
          <w:rFonts w:eastAsia="Times New Roman" w:cstheme="minorHAnsi"/>
        </w:rPr>
        <w:t>explained</w:t>
      </w:r>
      <w:r w:rsidRPr="00D632AC">
        <w:rPr>
          <w:rFonts w:eastAsia="Times New Roman" w:cstheme="minorHAnsi"/>
        </w:rPr>
        <w:t xml:space="preserve"> that this principle “requires that comparable situations must not be treated differently and that different situations must not be treated in the same way unless such treatment is objectively justified</w:t>
      </w:r>
      <w:r w:rsidR="002150D6">
        <w:rPr>
          <w:rFonts w:eastAsia="Times New Roman" w:cstheme="minorHAnsi"/>
        </w:rPr>
        <w:t>.</w:t>
      </w:r>
      <w:r w:rsidRPr="00D632AC">
        <w:rPr>
          <w:rFonts w:eastAsia="Times New Roman" w:cstheme="minorHAnsi"/>
        </w:rPr>
        <w:t>”</w:t>
      </w:r>
      <w:r w:rsidRPr="00D632AC">
        <w:rPr>
          <w:rFonts w:eastAsia="Times New Roman" w:cstheme="minorHAnsi"/>
          <w:vertAlign w:val="superscript"/>
        </w:rPr>
        <w:footnoteReference w:id="36"/>
      </w:r>
      <w:r w:rsidRPr="00D632AC">
        <w:rPr>
          <w:rFonts w:eastAsia="Times New Roman" w:cstheme="minorHAnsi"/>
        </w:rPr>
        <w:t xml:space="preserve">  A difference </w:t>
      </w:r>
      <w:r w:rsidRPr="00D632AC">
        <w:rPr>
          <w:rFonts w:eastAsia="Times New Roman" w:cstheme="minorHAnsi"/>
        </w:rPr>
        <w:lastRenderedPageBreak/>
        <w:t>in treatment is only deemed justified if “it is based on an objective and reasonable criterion, meaning it is related to a legitimate aim pursued by the legislation in question, and if that difference is proportionate to the aim pursued by the treatment in question</w:t>
      </w:r>
      <w:r w:rsidR="0099614D" w:rsidRPr="00D632AC">
        <w:rPr>
          <w:rFonts w:eastAsia="Times New Roman" w:cstheme="minorHAnsi"/>
        </w:rPr>
        <w:t>.</w:t>
      </w:r>
      <w:r w:rsidRPr="00D632AC">
        <w:rPr>
          <w:rFonts w:eastAsia="Times New Roman" w:cstheme="minorHAnsi"/>
        </w:rPr>
        <w:t>”</w:t>
      </w:r>
      <w:r w:rsidRPr="00D632AC">
        <w:rPr>
          <w:rStyle w:val="FootnoteReference"/>
          <w:rFonts w:eastAsia="Times New Roman" w:cstheme="minorHAnsi"/>
        </w:rPr>
        <w:footnoteReference w:id="37"/>
      </w:r>
    </w:p>
    <w:p w14:paraId="2C22F1CA" w14:textId="44CEFF81" w:rsidR="00317F47" w:rsidRPr="00D632AC" w:rsidRDefault="00515311" w:rsidP="009E0916">
      <w:pPr>
        <w:pStyle w:val="BodyText"/>
        <w:jc w:val="both"/>
        <w:rPr>
          <w:rFonts w:eastAsia="Times New Roman" w:cstheme="minorHAnsi"/>
        </w:rPr>
      </w:pPr>
      <w:r w:rsidRPr="00E3593C">
        <w:rPr>
          <w:rFonts w:eastAsia="Times New Roman" w:cstheme="minorHAnsi"/>
        </w:rPr>
        <w:t xml:space="preserve">The </w:t>
      </w:r>
      <w:r w:rsidR="0099614D" w:rsidRPr="00E3593C">
        <w:rPr>
          <w:rFonts w:eastAsia="Times New Roman" w:cstheme="minorHAnsi"/>
        </w:rPr>
        <w:t xml:space="preserve">UWWTD violates the principle of non-discrimination because it makes producers of human medicines and cosmetic products pay for at least 80% of the costs of the quaternary treatment of all micropollutants </w:t>
      </w:r>
      <w:r w:rsidR="00317F47" w:rsidRPr="00E3593C">
        <w:rPr>
          <w:rFonts w:eastAsia="Times New Roman" w:cstheme="minorHAnsi"/>
        </w:rPr>
        <w:t>while it e</w:t>
      </w:r>
      <w:r w:rsidR="000929B3" w:rsidRPr="00E3593C">
        <w:rPr>
          <w:rFonts w:eastAsia="Times New Roman" w:cstheme="minorHAnsi"/>
        </w:rPr>
        <w:t>xonerates</w:t>
      </w:r>
      <w:r w:rsidR="00317F47" w:rsidRPr="00E3593C">
        <w:rPr>
          <w:rFonts w:eastAsia="Times New Roman" w:cstheme="minorHAnsi"/>
        </w:rPr>
        <w:t xml:space="preserve"> other producers without sufficiently assessing the justification to do so</w:t>
      </w:r>
      <w:r w:rsidR="00317F47" w:rsidRPr="00DF6265">
        <w:rPr>
          <w:rFonts w:eastAsia="Times New Roman" w:cstheme="minorHAnsi"/>
        </w:rPr>
        <w:t>.</w:t>
      </w:r>
      <w:r w:rsidR="00317F47" w:rsidRPr="00D632AC">
        <w:rPr>
          <w:rFonts w:eastAsia="Times New Roman" w:cstheme="minorHAnsi"/>
        </w:rPr>
        <w:t xml:space="preserve">  </w:t>
      </w:r>
    </w:p>
    <w:p w14:paraId="53A2A6C0" w14:textId="04D9EC55" w:rsidR="00515311" w:rsidRPr="00D632AC" w:rsidRDefault="00317F47" w:rsidP="009E0916">
      <w:pPr>
        <w:pStyle w:val="BodyText"/>
        <w:jc w:val="both"/>
        <w:rPr>
          <w:rFonts w:eastAsia="Times New Roman" w:cstheme="minorHAnsi"/>
        </w:rPr>
      </w:pPr>
      <w:r w:rsidRPr="00D632AC">
        <w:rPr>
          <w:rFonts w:eastAsia="Times New Roman" w:cstheme="minorHAnsi"/>
        </w:rPr>
        <w:t>First, as explained above, the Commission’s Feasibility Study, Impact Assessment and legislative proposal fail</w:t>
      </w:r>
      <w:r w:rsidR="003E537E">
        <w:rPr>
          <w:rFonts w:eastAsia="Times New Roman" w:cstheme="minorHAnsi"/>
        </w:rPr>
        <w:t>ed</w:t>
      </w:r>
      <w:r w:rsidRPr="00D632AC">
        <w:rPr>
          <w:rFonts w:eastAsia="Times New Roman" w:cstheme="minorHAnsi"/>
        </w:rPr>
        <w:t xml:space="preserve"> to consider in any detail the impact of other producers to micro</w:t>
      </w:r>
      <w:r w:rsidR="00AD1EAE">
        <w:rPr>
          <w:rFonts w:eastAsia="Times New Roman" w:cstheme="minorHAnsi"/>
        </w:rPr>
        <w:t>-</w:t>
      </w:r>
      <w:r w:rsidRPr="00D632AC">
        <w:rPr>
          <w:rFonts w:eastAsia="Times New Roman" w:cstheme="minorHAnsi"/>
        </w:rPr>
        <w:t xml:space="preserve">pollution in wastewaters.  In particular, the Feasibility Study </w:t>
      </w:r>
      <w:r w:rsidR="00F1136B" w:rsidRPr="00D632AC">
        <w:rPr>
          <w:rFonts w:eastAsia="Times New Roman" w:cstheme="minorHAnsi"/>
        </w:rPr>
        <w:t>focused</w:t>
      </w:r>
      <w:r w:rsidRPr="00D632AC">
        <w:rPr>
          <w:rFonts w:eastAsia="Times New Roman" w:cstheme="minorHAnsi"/>
        </w:rPr>
        <w:t xml:space="preserve"> mostly on the contribution of human medicines and failed to take into consideration studies that would have also highlighted the contribution to pollution of other sectors.  Thus, the EU legislator never provided a reasonable</w:t>
      </w:r>
      <w:r w:rsidR="00633837">
        <w:rPr>
          <w:rFonts w:eastAsia="Times New Roman" w:cstheme="minorHAnsi"/>
        </w:rPr>
        <w:t>, evidence-based</w:t>
      </w:r>
      <w:r w:rsidRPr="00D632AC">
        <w:rPr>
          <w:rFonts w:eastAsia="Times New Roman" w:cstheme="minorHAnsi"/>
        </w:rPr>
        <w:t xml:space="preserve"> justification to treat differently producers of human medicines and cosmetic</w:t>
      </w:r>
      <w:r w:rsidR="002A0799">
        <w:rPr>
          <w:rFonts w:eastAsia="Times New Roman" w:cstheme="minorHAnsi"/>
        </w:rPr>
        <w:t xml:space="preserve"> products</w:t>
      </w:r>
      <w:r w:rsidRPr="00D632AC">
        <w:rPr>
          <w:rFonts w:eastAsia="Times New Roman" w:cstheme="minorHAnsi"/>
        </w:rPr>
        <w:t xml:space="preserve"> by making them pay and excluding producers of other products, such as pesticides, food products, house cleaning products.</w:t>
      </w:r>
      <w:r w:rsidR="00633837">
        <w:rPr>
          <w:rFonts w:eastAsia="Times New Roman" w:cstheme="minorHAnsi"/>
        </w:rPr>
        <w:t xml:space="preserve">  </w:t>
      </w:r>
    </w:p>
    <w:p w14:paraId="2C12BF80" w14:textId="5F1F4B48" w:rsidR="003E537E" w:rsidRDefault="00F1136B" w:rsidP="009E0916">
      <w:pPr>
        <w:pStyle w:val="BodyText"/>
        <w:jc w:val="both"/>
        <w:rPr>
          <w:rFonts w:eastAsia="Times New Roman" w:cstheme="minorHAnsi"/>
        </w:rPr>
      </w:pPr>
      <w:r w:rsidRPr="00D632AC">
        <w:rPr>
          <w:rFonts w:eastAsia="Times New Roman" w:cstheme="minorHAnsi"/>
        </w:rPr>
        <w:t>Second, while arguably the EU legislator may be entitled to first regulate some categories of products, or those products that are shown to contribute more to micro</w:t>
      </w:r>
      <w:r w:rsidR="00AD1EAE">
        <w:rPr>
          <w:rFonts w:eastAsia="Times New Roman" w:cstheme="minorHAnsi"/>
        </w:rPr>
        <w:t>-</w:t>
      </w:r>
      <w:r w:rsidRPr="00D632AC">
        <w:rPr>
          <w:rFonts w:eastAsia="Times New Roman" w:cstheme="minorHAnsi"/>
        </w:rPr>
        <w:t xml:space="preserve">pollution, such approach is still </w:t>
      </w:r>
      <w:r w:rsidR="00B76D73" w:rsidRPr="00D632AC">
        <w:rPr>
          <w:rFonts w:eastAsia="Times New Roman" w:cstheme="minorHAnsi"/>
        </w:rPr>
        <w:t>discriminatory</w:t>
      </w:r>
      <w:r w:rsidRPr="00D632AC">
        <w:rPr>
          <w:rFonts w:eastAsia="Times New Roman" w:cstheme="minorHAnsi"/>
        </w:rPr>
        <w:t xml:space="preserve"> to the extent that it will make producers of human medicines pay for significantly more than their contribution to pollution.  </w:t>
      </w:r>
    </w:p>
    <w:p w14:paraId="3E21CE8D" w14:textId="4E44A1F0" w:rsidR="00F764BF" w:rsidRPr="00F764BF" w:rsidRDefault="003E537E" w:rsidP="00F764BF">
      <w:pPr>
        <w:pStyle w:val="BodyText"/>
        <w:jc w:val="both"/>
        <w:rPr>
          <w:rFonts w:eastAsia="Times New Roman" w:cstheme="minorHAnsi"/>
        </w:rPr>
      </w:pPr>
      <w:r>
        <w:rPr>
          <w:rFonts w:eastAsia="Times New Roman" w:cstheme="minorHAnsi"/>
        </w:rPr>
        <w:t>Thus, b</w:t>
      </w:r>
      <w:r w:rsidR="00F1136B" w:rsidRPr="00D632AC">
        <w:rPr>
          <w:rFonts w:eastAsia="Times New Roman" w:cstheme="minorHAnsi"/>
        </w:rPr>
        <w:t xml:space="preserve">y making producers of human medicines pay for the pollution of other sectors without providing an objective justification, the UWWTD discriminates against producers of human medicines.  </w:t>
      </w:r>
      <w:r w:rsidR="00633837">
        <w:rPr>
          <w:rFonts w:eastAsia="Times New Roman" w:cstheme="minorHAnsi"/>
        </w:rPr>
        <w:t>The fact that Recital 21 states</w:t>
      </w:r>
      <w:r>
        <w:rPr>
          <w:rFonts w:eastAsia="Times New Roman" w:cstheme="minorHAnsi"/>
        </w:rPr>
        <w:t xml:space="preserve"> that</w:t>
      </w:r>
      <w:r w:rsidR="00633837">
        <w:rPr>
          <w:rFonts w:eastAsia="Times New Roman" w:cstheme="minorHAnsi"/>
        </w:rPr>
        <w:t xml:space="preserve"> t</w:t>
      </w:r>
      <w:r w:rsidR="00633837" w:rsidRPr="00452182">
        <w:rPr>
          <w:rFonts w:eastAsia="Times New Roman" w:cstheme="minorHAnsi"/>
        </w:rPr>
        <w:t>he potential increase of costs of the products or the potential reduction of the profit margins</w:t>
      </w:r>
      <w:r w:rsidR="00633837">
        <w:rPr>
          <w:rFonts w:eastAsia="Times New Roman" w:cstheme="minorHAnsi"/>
        </w:rPr>
        <w:t xml:space="preserve"> “</w:t>
      </w:r>
      <w:r w:rsidR="00633837" w:rsidRPr="00452182">
        <w:rPr>
          <w:rFonts w:eastAsia="Times New Roman" w:cstheme="minorHAnsi"/>
        </w:rPr>
        <w:t>would not endanger the affordability, availability and accessibility to these products on the EU market”</w:t>
      </w:r>
      <w:r w:rsidR="00633837">
        <w:rPr>
          <w:rFonts w:eastAsia="Times New Roman" w:cstheme="minorHAnsi"/>
        </w:rPr>
        <w:t xml:space="preserve"> is not an objective or sufficient reason to explain the discrimination.  </w:t>
      </w:r>
      <w:r>
        <w:rPr>
          <w:rFonts w:eastAsia="Times New Roman" w:cstheme="minorHAnsi"/>
        </w:rPr>
        <w:t>This is</w:t>
      </w:r>
      <w:r w:rsidR="002A0799">
        <w:rPr>
          <w:rFonts w:eastAsia="Times New Roman" w:cstheme="minorHAnsi"/>
        </w:rPr>
        <w:t xml:space="preserve"> even</w:t>
      </w:r>
      <w:r>
        <w:rPr>
          <w:rFonts w:eastAsia="Times New Roman" w:cstheme="minorHAnsi"/>
        </w:rPr>
        <w:t xml:space="preserve"> more the case given that this statement is not correct, as shown above.</w:t>
      </w:r>
    </w:p>
    <w:sectPr w:rsidR="00F764BF" w:rsidRPr="00F764BF" w:rsidSect="007D7C8E">
      <w:headerReference w:type="default" r:id="rId11"/>
      <w:footerReference w:type="even" r:id="rId12"/>
      <w:pgSz w:w="11907" w:h="16839"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B9872" w14:textId="77777777" w:rsidR="00522815" w:rsidRDefault="00522815">
      <w:r>
        <w:separator/>
      </w:r>
    </w:p>
  </w:endnote>
  <w:endnote w:type="continuationSeparator" w:id="0">
    <w:p w14:paraId="61E69910" w14:textId="77777777" w:rsidR="00522815" w:rsidRDefault="00522815">
      <w:r>
        <w:continuationSeparator/>
      </w:r>
    </w:p>
  </w:endnote>
  <w:endnote w:type="continuationNotice" w:id="1">
    <w:p w14:paraId="7A3D379C" w14:textId="77777777" w:rsidR="00522815" w:rsidRDefault="00522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quot;Times New Roman&quot;">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ECE1F" w14:textId="77777777" w:rsidR="00B95975" w:rsidRDefault="00B959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F65CF7" w14:textId="77777777" w:rsidR="00B95975" w:rsidRDefault="00B95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9B074" w14:textId="77777777" w:rsidR="00522815" w:rsidRDefault="00522815">
      <w:pPr>
        <w:pStyle w:val="FootnoteText"/>
      </w:pPr>
      <w:r>
        <w:separator/>
      </w:r>
    </w:p>
  </w:footnote>
  <w:footnote w:type="continuationSeparator" w:id="0">
    <w:p w14:paraId="5C5CB4A7" w14:textId="77777777" w:rsidR="00522815" w:rsidRDefault="00522815">
      <w:pPr>
        <w:pStyle w:val="FootnoteText"/>
      </w:pPr>
      <w:r>
        <w:separator/>
      </w:r>
    </w:p>
  </w:footnote>
  <w:footnote w:type="continuationNotice" w:id="1">
    <w:p w14:paraId="5A0C32AC" w14:textId="77777777" w:rsidR="00522815" w:rsidRDefault="00522815">
      <w:pPr>
        <w:pStyle w:val="FootnoteText"/>
      </w:pPr>
      <w:r>
        <w:t>(continued…)</w:t>
      </w:r>
    </w:p>
  </w:footnote>
  <w:footnote w:id="2">
    <w:p w14:paraId="62D84931" w14:textId="77777777" w:rsidR="00256756" w:rsidRPr="009241BD" w:rsidRDefault="00256756">
      <w:pPr>
        <w:pStyle w:val="FootnoteText"/>
        <w:rPr>
          <w:sz w:val="18"/>
          <w:szCs w:val="18"/>
        </w:rPr>
      </w:pPr>
      <w:r w:rsidRPr="009241BD">
        <w:rPr>
          <w:rStyle w:val="FootnoteReference"/>
          <w:sz w:val="18"/>
          <w:szCs w:val="18"/>
        </w:rPr>
        <w:footnoteRef/>
      </w:r>
      <w:r w:rsidRPr="009241BD">
        <w:rPr>
          <w:sz w:val="18"/>
          <w:szCs w:val="18"/>
        </w:rPr>
        <w:t xml:space="preserve"> Article 191(2) of the TFEU.</w:t>
      </w:r>
    </w:p>
  </w:footnote>
  <w:footnote w:id="3">
    <w:p w14:paraId="1E7CC584" w14:textId="77777777" w:rsidR="008F6B22" w:rsidRPr="009241BD" w:rsidRDefault="008F6B22" w:rsidP="008F6B22">
      <w:pPr>
        <w:pStyle w:val="FootnoteText"/>
        <w:rPr>
          <w:sz w:val="18"/>
          <w:szCs w:val="18"/>
        </w:rPr>
      </w:pPr>
      <w:r w:rsidRPr="009241BD">
        <w:rPr>
          <w:rStyle w:val="FootnoteReference"/>
          <w:sz w:val="18"/>
          <w:szCs w:val="18"/>
        </w:rPr>
        <w:footnoteRef/>
      </w:r>
      <w:r w:rsidRPr="009241BD">
        <w:rPr>
          <w:rStyle w:val="FootnoteReference"/>
          <w:sz w:val="18"/>
          <w:szCs w:val="18"/>
          <w:vertAlign w:val="baseline"/>
        </w:rPr>
        <w:t xml:space="preserve"> European Court of Auditors, </w:t>
      </w:r>
      <w:r w:rsidR="006C409C">
        <w:rPr>
          <w:sz w:val="18"/>
          <w:szCs w:val="18"/>
        </w:rPr>
        <w:t xml:space="preserve">Special Report </w:t>
      </w:r>
      <w:r w:rsidRPr="009241BD">
        <w:rPr>
          <w:rStyle w:val="FootnoteReference"/>
          <w:sz w:val="18"/>
          <w:szCs w:val="18"/>
          <w:vertAlign w:val="baseline"/>
        </w:rPr>
        <w:t>The Polluter Pays Principle: Inconsistent application across EU environmental policies and actions, 2021</w:t>
      </w:r>
      <w:r w:rsidR="006C409C">
        <w:rPr>
          <w:sz w:val="18"/>
          <w:szCs w:val="18"/>
        </w:rPr>
        <w:t xml:space="preserve">, p. </w:t>
      </w:r>
      <w:r w:rsidR="006619C6">
        <w:rPr>
          <w:sz w:val="18"/>
          <w:szCs w:val="18"/>
        </w:rPr>
        <w:t xml:space="preserve">4, accessible </w:t>
      </w:r>
      <w:hyperlink r:id="rId1" w:history="1">
        <w:r w:rsidR="006619C6" w:rsidRPr="006619C6">
          <w:rPr>
            <w:rStyle w:val="Hyperlink"/>
            <w:sz w:val="18"/>
            <w:szCs w:val="18"/>
          </w:rPr>
          <w:t>here</w:t>
        </w:r>
      </w:hyperlink>
      <w:r w:rsidR="006619C6">
        <w:rPr>
          <w:sz w:val="18"/>
          <w:szCs w:val="18"/>
        </w:rPr>
        <w:t>.</w:t>
      </w:r>
    </w:p>
  </w:footnote>
  <w:footnote w:id="4">
    <w:p w14:paraId="33B2198B" w14:textId="77777777" w:rsidR="006571B8" w:rsidRPr="00E42DFB" w:rsidRDefault="006571B8">
      <w:pPr>
        <w:pStyle w:val="FootnoteText"/>
        <w:rPr>
          <w:sz w:val="18"/>
          <w:szCs w:val="18"/>
          <w:lang w:val="fr-FR"/>
        </w:rPr>
      </w:pPr>
      <w:r w:rsidRPr="006571B8">
        <w:rPr>
          <w:rStyle w:val="FootnoteReference"/>
          <w:sz w:val="18"/>
          <w:szCs w:val="18"/>
        </w:rPr>
        <w:footnoteRef/>
      </w:r>
      <w:r w:rsidRPr="006571B8">
        <w:rPr>
          <w:sz w:val="18"/>
          <w:szCs w:val="18"/>
          <w:lang w:val="en-GB"/>
        </w:rPr>
        <w:t xml:space="preserve"> Judgment of 9 March 2010, </w:t>
      </w:r>
      <w:r w:rsidRPr="006571B8">
        <w:rPr>
          <w:i/>
          <w:iCs/>
          <w:sz w:val="18"/>
          <w:szCs w:val="18"/>
          <w:lang w:val="en-GB"/>
        </w:rPr>
        <w:t>ERG and Others</w:t>
      </w:r>
      <w:r w:rsidRPr="006571B8">
        <w:rPr>
          <w:sz w:val="18"/>
          <w:szCs w:val="18"/>
          <w:lang w:val="en-GB"/>
        </w:rPr>
        <w:t xml:space="preserve">, C-378/08, ECLI:EU:C:2010:126, para. </w:t>
      </w:r>
      <w:r w:rsidRPr="00E42DFB">
        <w:rPr>
          <w:sz w:val="18"/>
          <w:szCs w:val="18"/>
          <w:lang w:val="fr-FR"/>
        </w:rPr>
        <w:t>57.</w:t>
      </w:r>
    </w:p>
  </w:footnote>
  <w:footnote w:id="5">
    <w:p w14:paraId="528AB300" w14:textId="77777777" w:rsidR="008F6B22" w:rsidRPr="00EA5F30" w:rsidRDefault="008F6B22" w:rsidP="008F6B22">
      <w:pPr>
        <w:pStyle w:val="FootnoteText"/>
        <w:rPr>
          <w:sz w:val="18"/>
          <w:szCs w:val="18"/>
          <w:vertAlign w:val="superscript"/>
          <w:lang w:val="fr-FR"/>
        </w:rPr>
      </w:pPr>
      <w:r w:rsidRPr="009241BD">
        <w:rPr>
          <w:rStyle w:val="FootnoteReference"/>
          <w:sz w:val="18"/>
          <w:szCs w:val="18"/>
        </w:rPr>
        <w:footnoteRef/>
      </w:r>
      <w:r w:rsidRPr="009241BD">
        <w:rPr>
          <w:rStyle w:val="FootnoteReference"/>
          <w:sz w:val="18"/>
          <w:szCs w:val="18"/>
          <w:lang w:val="fr-FR"/>
        </w:rPr>
        <w:t xml:space="preserve"> </w:t>
      </w:r>
      <w:proofErr w:type="spellStart"/>
      <w:r w:rsidRPr="009241BD">
        <w:rPr>
          <w:rStyle w:val="FootnoteReference"/>
          <w:sz w:val="18"/>
          <w:szCs w:val="18"/>
          <w:vertAlign w:val="baseline"/>
          <w:lang w:val="fr-FR"/>
        </w:rPr>
        <w:t>Judgment</w:t>
      </w:r>
      <w:proofErr w:type="spellEnd"/>
      <w:r w:rsidRPr="009241BD">
        <w:rPr>
          <w:rStyle w:val="FootnoteReference"/>
          <w:sz w:val="18"/>
          <w:szCs w:val="18"/>
          <w:vertAlign w:val="baseline"/>
          <w:lang w:val="fr-FR"/>
        </w:rPr>
        <w:t xml:space="preserve"> of 29 April 1999, C-293/97, </w:t>
      </w:r>
      <w:proofErr w:type="spellStart"/>
      <w:r w:rsidRPr="009241BD">
        <w:rPr>
          <w:rStyle w:val="FootnoteReference"/>
          <w:i/>
          <w:iCs/>
          <w:sz w:val="18"/>
          <w:szCs w:val="18"/>
          <w:vertAlign w:val="baseline"/>
          <w:lang w:val="fr-FR"/>
        </w:rPr>
        <w:t>Standley</w:t>
      </w:r>
      <w:proofErr w:type="spellEnd"/>
      <w:r w:rsidRPr="009241BD">
        <w:rPr>
          <w:rStyle w:val="FootnoteReference"/>
          <w:i/>
          <w:iCs/>
          <w:sz w:val="18"/>
          <w:szCs w:val="18"/>
          <w:vertAlign w:val="baseline"/>
          <w:lang w:val="fr-FR"/>
        </w:rPr>
        <w:t xml:space="preserve"> and </w:t>
      </w:r>
      <w:proofErr w:type="spellStart"/>
      <w:r w:rsidRPr="009241BD">
        <w:rPr>
          <w:rStyle w:val="FootnoteReference"/>
          <w:i/>
          <w:iCs/>
          <w:sz w:val="18"/>
          <w:szCs w:val="18"/>
          <w:vertAlign w:val="baseline"/>
          <w:lang w:val="fr-FR"/>
        </w:rPr>
        <w:t>Others</w:t>
      </w:r>
      <w:proofErr w:type="spellEnd"/>
      <w:r w:rsidRPr="009241BD">
        <w:rPr>
          <w:rStyle w:val="FootnoteReference"/>
          <w:sz w:val="18"/>
          <w:szCs w:val="18"/>
          <w:vertAlign w:val="baseline"/>
          <w:lang w:val="fr-FR"/>
        </w:rPr>
        <w:t>, ECLI:EU:C:1999:215</w:t>
      </w:r>
      <w:r w:rsidRPr="009241BD">
        <w:rPr>
          <w:sz w:val="18"/>
          <w:szCs w:val="18"/>
          <w:lang w:val="fr-FR"/>
        </w:rPr>
        <w:t xml:space="preserve">, para. </w:t>
      </w:r>
      <w:r w:rsidRPr="00A666C1">
        <w:rPr>
          <w:sz w:val="18"/>
          <w:szCs w:val="18"/>
          <w:lang w:val="pt-PT"/>
        </w:rPr>
        <w:t>51</w:t>
      </w:r>
      <w:r w:rsidR="006571B8" w:rsidRPr="00A666C1">
        <w:rPr>
          <w:sz w:val="18"/>
          <w:szCs w:val="18"/>
          <w:lang w:val="pt-PT"/>
        </w:rPr>
        <w:t xml:space="preserve"> ; see also Judgment of 25 February 2010, </w:t>
      </w:r>
      <w:r w:rsidR="006571B8" w:rsidRPr="00A666C1">
        <w:rPr>
          <w:i/>
          <w:iCs/>
          <w:sz w:val="18"/>
          <w:szCs w:val="18"/>
          <w:lang w:val="pt-PT"/>
        </w:rPr>
        <w:t>Pontina Ambiente</w:t>
      </w:r>
      <w:r w:rsidR="006571B8" w:rsidRPr="00A666C1">
        <w:rPr>
          <w:sz w:val="18"/>
          <w:szCs w:val="18"/>
          <w:lang w:val="pt-PT"/>
        </w:rPr>
        <w:t xml:space="preserve">, C-172/08, ECLI:EU:C:2010:87, para. </w:t>
      </w:r>
      <w:r w:rsidR="006571B8" w:rsidRPr="00EA5F30">
        <w:rPr>
          <w:sz w:val="18"/>
          <w:szCs w:val="18"/>
          <w:lang w:val="fr-FR"/>
        </w:rPr>
        <w:t>38.</w:t>
      </w:r>
    </w:p>
  </w:footnote>
  <w:footnote w:id="6">
    <w:p w14:paraId="2E01E81C" w14:textId="77777777" w:rsidR="008F6B22" w:rsidRPr="006D7F4C" w:rsidRDefault="008F6B22" w:rsidP="008F6B22">
      <w:pPr>
        <w:pStyle w:val="FootnoteText"/>
        <w:rPr>
          <w:sz w:val="20"/>
          <w:szCs w:val="20"/>
        </w:rPr>
      </w:pPr>
      <w:r w:rsidRPr="009241BD">
        <w:rPr>
          <w:rStyle w:val="FootnoteReference"/>
          <w:sz w:val="18"/>
          <w:szCs w:val="18"/>
        </w:rPr>
        <w:footnoteRef/>
      </w:r>
      <w:r w:rsidRPr="00DF47FE">
        <w:rPr>
          <w:sz w:val="18"/>
          <w:szCs w:val="18"/>
          <w:lang w:val="fr-FR"/>
        </w:rPr>
        <w:t xml:space="preserve"> </w:t>
      </w:r>
      <w:proofErr w:type="spellStart"/>
      <w:r w:rsidRPr="00DF47FE">
        <w:rPr>
          <w:rStyle w:val="FootnoteReference"/>
          <w:sz w:val="18"/>
          <w:szCs w:val="18"/>
          <w:vertAlign w:val="baseline"/>
          <w:lang w:val="fr-FR"/>
        </w:rPr>
        <w:t>Judgment</w:t>
      </w:r>
      <w:proofErr w:type="spellEnd"/>
      <w:r w:rsidRPr="00DF47FE">
        <w:rPr>
          <w:rStyle w:val="FootnoteReference"/>
          <w:sz w:val="18"/>
          <w:szCs w:val="18"/>
          <w:vertAlign w:val="baseline"/>
          <w:lang w:val="fr-FR"/>
        </w:rPr>
        <w:t xml:space="preserve"> of 29 April 1999, C-293/97, </w:t>
      </w:r>
      <w:proofErr w:type="spellStart"/>
      <w:r w:rsidRPr="00A50CF2">
        <w:rPr>
          <w:rStyle w:val="FootnoteReference"/>
          <w:i/>
          <w:iCs/>
          <w:sz w:val="18"/>
          <w:szCs w:val="18"/>
          <w:vertAlign w:val="baseline"/>
          <w:lang w:val="fr-FR"/>
        </w:rPr>
        <w:t>Standley</w:t>
      </w:r>
      <w:proofErr w:type="spellEnd"/>
      <w:r w:rsidRPr="00A50CF2">
        <w:rPr>
          <w:rStyle w:val="FootnoteReference"/>
          <w:i/>
          <w:iCs/>
          <w:sz w:val="18"/>
          <w:szCs w:val="18"/>
          <w:vertAlign w:val="baseline"/>
          <w:lang w:val="fr-FR"/>
        </w:rPr>
        <w:t xml:space="preserve"> and </w:t>
      </w:r>
      <w:proofErr w:type="spellStart"/>
      <w:r w:rsidRPr="00A50CF2">
        <w:rPr>
          <w:rStyle w:val="FootnoteReference"/>
          <w:i/>
          <w:iCs/>
          <w:sz w:val="18"/>
          <w:szCs w:val="18"/>
          <w:vertAlign w:val="baseline"/>
          <w:lang w:val="fr-FR"/>
        </w:rPr>
        <w:t>Others</w:t>
      </w:r>
      <w:proofErr w:type="spellEnd"/>
      <w:r w:rsidRPr="00DF47FE">
        <w:rPr>
          <w:rStyle w:val="FootnoteReference"/>
          <w:sz w:val="18"/>
          <w:szCs w:val="18"/>
          <w:vertAlign w:val="baseline"/>
          <w:lang w:val="fr-FR"/>
        </w:rPr>
        <w:t>, ECLI:EU:C:1999:215</w:t>
      </w:r>
      <w:r w:rsidRPr="00DF47FE">
        <w:rPr>
          <w:sz w:val="18"/>
          <w:szCs w:val="18"/>
          <w:lang w:val="fr-FR"/>
        </w:rPr>
        <w:t xml:space="preserve">, para. </w:t>
      </w:r>
      <w:r w:rsidRPr="009241BD">
        <w:rPr>
          <w:sz w:val="18"/>
          <w:szCs w:val="18"/>
        </w:rPr>
        <w:t>52.</w:t>
      </w:r>
    </w:p>
  </w:footnote>
  <w:footnote w:id="7">
    <w:p w14:paraId="1A323D3C" w14:textId="77777777" w:rsidR="00D07391" w:rsidRPr="009241BD" w:rsidRDefault="00D07391" w:rsidP="009241BD">
      <w:pPr>
        <w:pStyle w:val="FootnoteText"/>
        <w:jc w:val="both"/>
        <w:rPr>
          <w:sz w:val="18"/>
          <w:szCs w:val="18"/>
        </w:rPr>
      </w:pPr>
      <w:r w:rsidRPr="009241BD">
        <w:rPr>
          <w:rStyle w:val="FootnoteReference"/>
          <w:sz w:val="18"/>
          <w:szCs w:val="18"/>
        </w:rPr>
        <w:footnoteRef/>
      </w:r>
      <w:r w:rsidRPr="009241BD">
        <w:rPr>
          <w:sz w:val="18"/>
          <w:szCs w:val="18"/>
        </w:rPr>
        <w:t xml:space="preserve"> Ramboll</w:t>
      </w:r>
      <w:r w:rsidR="00DB610C" w:rsidRPr="009241BD">
        <w:rPr>
          <w:sz w:val="18"/>
          <w:szCs w:val="18"/>
        </w:rPr>
        <w:t>, Micropollutants in Urban Wastewater: Critical review of the Impact Assessment accompanying the proposed recast of the EU Urban Wastewater Treatment Directive (UWWTD)</w:t>
      </w:r>
      <w:r w:rsidR="006D1A2C" w:rsidRPr="009241BD">
        <w:rPr>
          <w:sz w:val="18"/>
          <w:szCs w:val="18"/>
        </w:rPr>
        <w:t xml:space="preserve"> ("Ramboll Study")</w:t>
      </w:r>
      <w:r w:rsidR="00DB610C" w:rsidRPr="009241BD">
        <w:rPr>
          <w:sz w:val="18"/>
          <w:szCs w:val="18"/>
        </w:rPr>
        <w:t xml:space="preserve">, April 2023, p. 9. </w:t>
      </w:r>
    </w:p>
  </w:footnote>
  <w:footnote w:id="8">
    <w:p w14:paraId="1463F014" w14:textId="77777777" w:rsidR="0092730B" w:rsidRPr="009241BD" w:rsidRDefault="0092730B" w:rsidP="009241BD">
      <w:pPr>
        <w:pStyle w:val="FootnoteText"/>
        <w:jc w:val="both"/>
        <w:rPr>
          <w:sz w:val="18"/>
          <w:szCs w:val="18"/>
        </w:rPr>
      </w:pPr>
      <w:r w:rsidRPr="009241BD">
        <w:rPr>
          <w:rStyle w:val="FootnoteReference"/>
          <w:sz w:val="18"/>
          <w:szCs w:val="18"/>
        </w:rPr>
        <w:footnoteRef/>
      </w:r>
      <w:r w:rsidR="00DB610C" w:rsidRPr="009241BD">
        <w:rPr>
          <w:sz w:val="18"/>
          <w:szCs w:val="18"/>
        </w:rPr>
        <w:t xml:space="preserve"> </w:t>
      </w:r>
      <w:r w:rsidRPr="009241BD">
        <w:rPr>
          <w:sz w:val="18"/>
          <w:szCs w:val="18"/>
        </w:rPr>
        <w:t>Feas</w:t>
      </w:r>
      <w:r w:rsidR="00812CC0" w:rsidRPr="009241BD">
        <w:rPr>
          <w:sz w:val="18"/>
          <w:szCs w:val="18"/>
        </w:rPr>
        <w:t>i</w:t>
      </w:r>
      <w:r w:rsidRPr="009241BD">
        <w:rPr>
          <w:sz w:val="18"/>
          <w:szCs w:val="18"/>
        </w:rPr>
        <w:t>bility Study</w:t>
      </w:r>
      <w:r w:rsidR="00DB610C" w:rsidRPr="009241BD">
        <w:rPr>
          <w:sz w:val="18"/>
          <w:szCs w:val="18"/>
        </w:rPr>
        <w:t>, p. 12.</w:t>
      </w:r>
    </w:p>
  </w:footnote>
  <w:footnote w:id="9">
    <w:p w14:paraId="58FDFB77" w14:textId="77777777" w:rsidR="00AE7E89" w:rsidRPr="009241BD" w:rsidRDefault="00AE7E89" w:rsidP="009241BD">
      <w:pPr>
        <w:pStyle w:val="FootnoteText"/>
        <w:jc w:val="both"/>
        <w:rPr>
          <w:sz w:val="18"/>
          <w:szCs w:val="18"/>
        </w:rPr>
      </w:pPr>
      <w:r w:rsidRPr="009241BD">
        <w:rPr>
          <w:rStyle w:val="FootnoteReference"/>
          <w:sz w:val="18"/>
          <w:szCs w:val="18"/>
        </w:rPr>
        <w:footnoteRef/>
      </w:r>
      <w:r w:rsidRPr="009241BD">
        <w:rPr>
          <w:sz w:val="18"/>
          <w:szCs w:val="18"/>
        </w:rPr>
        <w:t xml:space="preserve"> Feas</w:t>
      </w:r>
      <w:r w:rsidR="00812CC0" w:rsidRPr="009241BD">
        <w:rPr>
          <w:sz w:val="18"/>
          <w:szCs w:val="18"/>
        </w:rPr>
        <w:t>i</w:t>
      </w:r>
      <w:r w:rsidRPr="009241BD">
        <w:rPr>
          <w:sz w:val="18"/>
          <w:szCs w:val="18"/>
        </w:rPr>
        <w:t>bility Study</w:t>
      </w:r>
      <w:r w:rsidR="00DB610C" w:rsidRPr="009241BD">
        <w:rPr>
          <w:sz w:val="18"/>
          <w:szCs w:val="18"/>
        </w:rPr>
        <w:t>, p. 12</w:t>
      </w:r>
    </w:p>
  </w:footnote>
  <w:footnote w:id="10">
    <w:p w14:paraId="22A4FA05" w14:textId="77777777" w:rsidR="0092730B" w:rsidRPr="003A3C24" w:rsidRDefault="0092730B" w:rsidP="009241BD">
      <w:pPr>
        <w:pStyle w:val="FootnoteText"/>
        <w:jc w:val="both"/>
        <w:rPr>
          <w:sz w:val="18"/>
          <w:szCs w:val="18"/>
        </w:rPr>
      </w:pPr>
      <w:r w:rsidRPr="009241BD">
        <w:rPr>
          <w:rStyle w:val="FootnoteReference"/>
          <w:sz w:val="18"/>
          <w:szCs w:val="18"/>
        </w:rPr>
        <w:footnoteRef/>
      </w:r>
      <w:r w:rsidRPr="009241BD">
        <w:rPr>
          <w:sz w:val="18"/>
          <w:szCs w:val="18"/>
        </w:rPr>
        <w:t xml:space="preserve"> </w:t>
      </w:r>
      <w:proofErr w:type="spellStart"/>
      <w:r w:rsidRPr="003A3C24">
        <w:rPr>
          <w:rFonts w:cstheme="minorHAnsi"/>
          <w:sz w:val="18"/>
          <w:szCs w:val="18"/>
        </w:rPr>
        <w:t>Finckh</w:t>
      </w:r>
      <w:proofErr w:type="spellEnd"/>
      <w:r w:rsidRPr="003A3C24">
        <w:rPr>
          <w:rFonts w:cstheme="minorHAnsi"/>
          <w:sz w:val="18"/>
          <w:szCs w:val="18"/>
        </w:rPr>
        <w:t xml:space="preserve"> </w:t>
      </w:r>
      <w:r w:rsidRPr="003A3C24">
        <w:rPr>
          <w:rFonts w:cstheme="minorHAnsi"/>
          <w:i/>
          <w:iCs/>
          <w:sz w:val="18"/>
          <w:szCs w:val="18"/>
        </w:rPr>
        <w:t>et al</w:t>
      </w:r>
      <w:r w:rsidRPr="003A3C24">
        <w:rPr>
          <w:rFonts w:cstheme="minorHAnsi"/>
          <w:sz w:val="18"/>
          <w:szCs w:val="18"/>
        </w:rPr>
        <w:t>.,</w:t>
      </w:r>
      <w:r w:rsidR="009C6412" w:rsidRPr="003A3C24">
        <w:rPr>
          <w:rFonts w:cstheme="minorHAnsi"/>
          <w:sz w:val="18"/>
          <w:szCs w:val="18"/>
        </w:rPr>
        <w:t xml:space="preserve"> </w:t>
      </w:r>
      <w:r w:rsidR="002F6CEC" w:rsidRPr="003A3C24">
        <w:rPr>
          <w:rFonts w:cstheme="minorHAnsi"/>
          <w:sz w:val="18"/>
          <w:szCs w:val="18"/>
        </w:rPr>
        <w:t>"</w:t>
      </w:r>
      <w:r w:rsidR="009C6412" w:rsidRPr="003A3C24">
        <w:rPr>
          <w:rFonts w:cstheme="minorHAnsi"/>
          <w:i/>
          <w:iCs/>
          <w:sz w:val="18"/>
          <w:szCs w:val="18"/>
        </w:rPr>
        <w:t>A risk based assessment approach for chemical mixtures from wastewater treatment plant effluents</w:t>
      </w:r>
      <w:r w:rsidR="002F6CEC" w:rsidRPr="003A3C24">
        <w:rPr>
          <w:rFonts w:cstheme="minorHAnsi"/>
          <w:sz w:val="18"/>
          <w:szCs w:val="18"/>
        </w:rPr>
        <w:t>”</w:t>
      </w:r>
      <w:r w:rsidR="009C6412" w:rsidRPr="003A3C24">
        <w:rPr>
          <w:rFonts w:cstheme="minorHAnsi"/>
          <w:sz w:val="18"/>
          <w:szCs w:val="18"/>
        </w:rPr>
        <w:t>,</w:t>
      </w:r>
      <w:r w:rsidRPr="003A3C24">
        <w:rPr>
          <w:rFonts w:cstheme="minorHAnsi"/>
          <w:sz w:val="18"/>
          <w:szCs w:val="18"/>
        </w:rPr>
        <w:t xml:space="preserve"> 2023</w:t>
      </w:r>
      <w:r w:rsidR="002F6CEC" w:rsidRPr="003A3C24">
        <w:rPr>
          <w:rFonts w:cstheme="minorHAnsi"/>
          <w:sz w:val="18"/>
          <w:szCs w:val="18"/>
        </w:rPr>
        <w:t xml:space="preserve">, accessible </w:t>
      </w:r>
      <w:hyperlink r:id="rId2" w:history="1">
        <w:r w:rsidR="002F6CEC" w:rsidRPr="003A3C24">
          <w:rPr>
            <w:rStyle w:val="Hyperlink"/>
            <w:sz w:val="18"/>
            <w:szCs w:val="18"/>
          </w:rPr>
          <w:t>here</w:t>
        </w:r>
      </w:hyperlink>
      <w:r w:rsidRPr="003A3C24">
        <w:rPr>
          <w:rFonts w:cstheme="minorHAnsi"/>
          <w:sz w:val="18"/>
          <w:szCs w:val="18"/>
        </w:rPr>
        <w:t>; K</w:t>
      </w:r>
      <w:r w:rsidR="002F6CEC" w:rsidRPr="003A3C24">
        <w:rPr>
          <w:rFonts w:cstheme="minorHAnsi"/>
          <w:sz w:val="18"/>
          <w:szCs w:val="18"/>
        </w:rPr>
        <w:t>ü</w:t>
      </w:r>
      <w:r w:rsidRPr="003A3C24">
        <w:rPr>
          <w:rFonts w:cstheme="minorHAnsi"/>
          <w:sz w:val="18"/>
          <w:szCs w:val="18"/>
        </w:rPr>
        <w:t>ster &amp; Adler</w:t>
      </w:r>
      <w:r w:rsidR="002F6CEC" w:rsidRPr="003A3C24">
        <w:rPr>
          <w:rFonts w:cstheme="minorHAnsi"/>
          <w:sz w:val="18"/>
          <w:szCs w:val="18"/>
        </w:rPr>
        <w:t>, “</w:t>
      </w:r>
      <w:r w:rsidR="002F6CEC" w:rsidRPr="003A3C24">
        <w:rPr>
          <w:rFonts w:cstheme="minorHAnsi"/>
          <w:i/>
          <w:iCs/>
          <w:sz w:val="18"/>
          <w:szCs w:val="18"/>
        </w:rPr>
        <w:t>Pharmaceuticals in the environment: scientific evidence of risks and its regulation</w:t>
      </w:r>
      <w:r w:rsidR="002F6CEC" w:rsidRPr="003A3C24">
        <w:rPr>
          <w:rFonts w:cstheme="minorHAnsi"/>
          <w:sz w:val="18"/>
          <w:szCs w:val="18"/>
        </w:rPr>
        <w:t xml:space="preserve">”, 2014, accessible </w:t>
      </w:r>
      <w:hyperlink r:id="rId3" w:history="1">
        <w:r w:rsidR="002F6CEC" w:rsidRPr="003A3C24">
          <w:rPr>
            <w:rStyle w:val="Hyperlink"/>
            <w:rFonts w:cstheme="minorHAnsi"/>
            <w:sz w:val="18"/>
            <w:szCs w:val="18"/>
          </w:rPr>
          <w:t>here</w:t>
        </w:r>
      </w:hyperlink>
      <w:r w:rsidRPr="003A3C24">
        <w:rPr>
          <w:rFonts w:cstheme="minorHAnsi"/>
          <w:sz w:val="18"/>
          <w:szCs w:val="18"/>
        </w:rPr>
        <w:t>; Gunnar</w:t>
      </w:r>
      <w:r w:rsidR="002F6CEC" w:rsidRPr="003A3C24">
        <w:rPr>
          <w:rFonts w:cstheme="minorHAnsi"/>
          <w:sz w:val="18"/>
          <w:szCs w:val="18"/>
        </w:rPr>
        <w:t>s</w:t>
      </w:r>
      <w:r w:rsidRPr="003A3C24">
        <w:rPr>
          <w:rFonts w:cstheme="minorHAnsi"/>
          <w:sz w:val="18"/>
          <w:szCs w:val="18"/>
        </w:rPr>
        <w:t>son</w:t>
      </w:r>
      <w:r w:rsidR="002F6CEC" w:rsidRPr="003A3C24">
        <w:rPr>
          <w:rFonts w:cstheme="minorHAnsi"/>
          <w:sz w:val="18"/>
          <w:szCs w:val="18"/>
        </w:rPr>
        <w:t xml:space="preserve"> </w:t>
      </w:r>
      <w:r w:rsidR="002F6CEC" w:rsidRPr="003A3C24">
        <w:rPr>
          <w:rFonts w:cstheme="minorHAnsi"/>
          <w:i/>
          <w:iCs/>
          <w:sz w:val="18"/>
          <w:szCs w:val="18"/>
        </w:rPr>
        <w:t>et al</w:t>
      </w:r>
      <w:r w:rsidR="002F6CEC" w:rsidRPr="003A3C24">
        <w:rPr>
          <w:rFonts w:cstheme="minorHAnsi"/>
          <w:sz w:val="18"/>
          <w:szCs w:val="18"/>
        </w:rPr>
        <w:t>., “</w:t>
      </w:r>
      <w:r w:rsidR="002F6CEC" w:rsidRPr="003A3C24">
        <w:rPr>
          <w:rFonts w:cstheme="minorHAnsi"/>
          <w:i/>
          <w:iCs/>
          <w:sz w:val="18"/>
          <w:szCs w:val="18"/>
        </w:rPr>
        <w:t>Pharmacology beyond the patient – The environmental risks of human drugs</w:t>
      </w:r>
      <w:r w:rsidR="002F6CEC" w:rsidRPr="003A3C24">
        <w:rPr>
          <w:rFonts w:cstheme="minorHAnsi"/>
          <w:sz w:val="18"/>
          <w:szCs w:val="18"/>
        </w:rPr>
        <w:t xml:space="preserve">”, 2019, accessible </w:t>
      </w:r>
      <w:hyperlink r:id="rId4" w:history="1">
        <w:r w:rsidR="002F6CEC" w:rsidRPr="003A3C24">
          <w:rPr>
            <w:rStyle w:val="Hyperlink"/>
            <w:rFonts w:cstheme="minorHAnsi"/>
            <w:sz w:val="18"/>
            <w:szCs w:val="18"/>
          </w:rPr>
          <w:t>here</w:t>
        </w:r>
      </w:hyperlink>
      <w:r w:rsidRPr="003A3C24">
        <w:rPr>
          <w:rFonts w:cstheme="minorHAnsi"/>
          <w:sz w:val="18"/>
          <w:szCs w:val="18"/>
        </w:rPr>
        <w:t>.</w:t>
      </w:r>
    </w:p>
  </w:footnote>
  <w:footnote w:id="11">
    <w:p w14:paraId="2E1859F9" w14:textId="77777777" w:rsidR="00B45E6B" w:rsidRPr="003A3C24" w:rsidRDefault="00B45E6B" w:rsidP="009241BD">
      <w:pPr>
        <w:pStyle w:val="FootnoteText"/>
        <w:jc w:val="both"/>
        <w:rPr>
          <w:sz w:val="18"/>
          <w:szCs w:val="18"/>
        </w:rPr>
      </w:pPr>
      <w:r w:rsidRPr="003A3C24">
        <w:rPr>
          <w:rStyle w:val="FootnoteReference"/>
          <w:sz w:val="18"/>
          <w:szCs w:val="18"/>
        </w:rPr>
        <w:footnoteRef/>
      </w:r>
      <w:r w:rsidRPr="003A3C24">
        <w:rPr>
          <w:sz w:val="18"/>
          <w:szCs w:val="18"/>
        </w:rPr>
        <w:t xml:space="preserve"> Feasibility Study, p. 54, Table 12.</w:t>
      </w:r>
    </w:p>
  </w:footnote>
  <w:footnote w:id="12">
    <w:p w14:paraId="77407C39" w14:textId="77777777" w:rsidR="006D1A2C" w:rsidRPr="009241BD" w:rsidRDefault="006D1A2C" w:rsidP="009241BD">
      <w:pPr>
        <w:pStyle w:val="FootnoteText"/>
        <w:jc w:val="both"/>
        <w:rPr>
          <w:sz w:val="18"/>
          <w:szCs w:val="18"/>
        </w:rPr>
      </w:pPr>
      <w:r w:rsidRPr="009241BD">
        <w:rPr>
          <w:rStyle w:val="FootnoteReference"/>
          <w:sz w:val="18"/>
          <w:szCs w:val="18"/>
        </w:rPr>
        <w:footnoteRef/>
      </w:r>
      <w:r w:rsidRPr="009241BD">
        <w:rPr>
          <w:sz w:val="18"/>
          <w:szCs w:val="18"/>
        </w:rPr>
        <w:t xml:space="preserve"> Feasibility Study, p. 55.</w:t>
      </w:r>
    </w:p>
  </w:footnote>
  <w:footnote w:id="13">
    <w:p w14:paraId="78579A75" w14:textId="66E677DA" w:rsidR="00B21EE7" w:rsidRPr="00B21EE7" w:rsidRDefault="00B21EE7" w:rsidP="00B21EE7">
      <w:pPr>
        <w:pStyle w:val="FootnoteText"/>
        <w:jc w:val="both"/>
        <w:rPr>
          <w:sz w:val="18"/>
          <w:szCs w:val="18"/>
          <w:lang w:val="en-GB"/>
        </w:rPr>
      </w:pPr>
      <w:r w:rsidRPr="00B21EE7">
        <w:rPr>
          <w:rStyle w:val="FootnoteReference"/>
          <w:sz w:val="18"/>
          <w:szCs w:val="18"/>
        </w:rPr>
        <w:footnoteRef/>
      </w:r>
      <w:r w:rsidRPr="00B21EE7">
        <w:rPr>
          <w:sz w:val="18"/>
          <w:szCs w:val="18"/>
        </w:rPr>
        <w:t xml:space="preserve"> European Medicines Agency, Guidelines on the environmental risk assessment of medicinal products for human use, 15 February 2024, accessible </w:t>
      </w:r>
      <w:hyperlink r:id="rId5" w:history="1">
        <w:r w:rsidRPr="00B21EE7">
          <w:rPr>
            <w:rStyle w:val="Hyperlink"/>
            <w:sz w:val="18"/>
            <w:szCs w:val="18"/>
          </w:rPr>
          <w:t>here</w:t>
        </w:r>
      </w:hyperlink>
      <w:r w:rsidRPr="00B21EE7">
        <w:rPr>
          <w:rFonts w:cstheme="minorHAnsi"/>
          <w:sz w:val="18"/>
          <w:szCs w:val="18"/>
        </w:rPr>
        <w:t>.</w:t>
      </w:r>
    </w:p>
  </w:footnote>
  <w:footnote w:id="14">
    <w:p w14:paraId="61E0A61A" w14:textId="77777777" w:rsidR="00DF5BAD" w:rsidRPr="009241BD" w:rsidRDefault="00DF5BAD" w:rsidP="009241BD">
      <w:pPr>
        <w:pStyle w:val="FootnoteText"/>
        <w:jc w:val="both"/>
        <w:rPr>
          <w:sz w:val="18"/>
          <w:szCs w:val="18"/>
        </w:rPr>
      </w:pPr>
      <w:r w:rsidRPr="009241BD">
        <w:rPr>
          <w:rStyle w:val="FootnoteReference"/>
          <w:sz w:val="18"/>
          <w:szCs w:val="18"/>
        </w:rPr>
        <w:footnoteRef/>
      </w:r>
      <w:r w:rsidRPr="009241BD">
        <w:rPr>
          <w:sz w:val="18"/>
          <w:szCs w:val="18"/>
        </w:rPr>
        <w:t xml:space="preserve"> Feas</w:t>
      </w:r>
      <w:r w:rsidR="004C0C05" w:rsidRPr="009241BD">
        <w:rPr>
          <w:sz w:val="18"/>
          <w:szCs w:val="18"/>
        </w:rPr>
        <w:t>i</w:t>
      </w:r>
      <w:r w:rsidRPr="009241BD">
        <w:rPr>
          <w:sz w:val="18"/>
          <w:szCs w:val="18"/>
        </w:rPr>
        <w:t>bility Study</w:t>
      </w:r>
      <w:r w:rsidR="00140999" w:rsidRPr="009241BD">
        <w:rPr>
          <w:sz w:val="18"/>
          <w:szCs w:val="18"/>
        </w:rPr>
        <w:t>, p. 88.</w:t>
      </w:r>
    </w:p>
  </w:footnote>
  <w:footnote w:id="15">
    <w:p w14:paraId="02511FB9" w14:textId="77777777" w:rsidR="00EE46F8" w:rsidRPr="006D7F4C" w:rsidRDefault="00EE46F8" w:rsidP="009241BD">
      <w:pPr>
        <w:pStyle w:val="FootnoteText"/>
        <w:jc w:val="both"/>
        <w:rPr>
          <w:sz w:val="20"/>
          <w:szCs w:val="20"/>
        </w:rPr>
      </w:pPr>
      <w:r w:rsidRPr="009241BD">
        <w:rPr>
          <w:rStyle w:val="FootnoteReference"/>
          <w:sz w:val="18"/>
          <w:szCs w:val="18"/>
        </w:rPr>
        <w:footnoteRef/>
      </w:r>
      <w:r w:rsidRPr="009241BD">
        <w:rPr>
          <w:sz w:val="18"/>
          <w:szCs w:val="18"/>
        </w:rPr>
        <w:t xml:space="preserve"> </w:t>
      </w:r>
      <w:r w:rsidR="00140999" w:rsidRPr="009241BD">
        <w:rPr>
          <w:sz w:val="18"/>
          <w:szCs w:val="18"/>
        </w:rPr>
        <w:t xml:space="preserve">European Commission, </w:t>
      </w:r>
      <w:r w:rsidRPr="009241BD">
        <w:rPr>
          <w:sz w:val="18"/>
          <w:szCs w:val="18"/>
        </w:rPr>
        <w:t>Impact Assessment</w:t>
      </w:r>
      <w:r w:rsidR="00140999" w:rsidRPr="009241BD">
        <w:rPr>
          <w:sz w:val="18"/>
          <w:szCs w:val="18"/>
        </w:rPr>
        <w:t xml:space="preserve"> Accompanying the Proposal for a Directive of the European Parliament</w:t>
      </w:r>
      <w:r w:rsidRPr="009241BD">
        <w:rPr>
          <w:sz w:val="18"/>
          <w:szCs w:val="18"/>
        </w:rPr>
        <w:t xml:space="preserve"> and </w:t>
      </w:r>
      <w:r w:rsidR="000841C6" w:rsidRPr="009241BD">
        <w:rPr>
          <w:sz w:val="18"/>
          <w:szCs w:val="18"/>
        </w:rPr>
        <w:t xml:space="preserve">of the Council concerning urban wastewater treatment (recast), 26.10.2022, COM(2022) 541 final, </w:t>
      </w:r>
      <w:r w:rsidRPr="009241BD">
        <w:rPr>
          <w:sz w:val="18"/>
          <w:szCs w:val="18"/>
        </w:rPr>
        <w:t>p</w:t>
      </w:r>
      <w:r w:rsidR="000841C6" w:rsidRPr="009241BD">
        <w:rPr>
          <w:sz w:val="18"/>
          <w:szCs w:val="18"/>
        </w:rPr>
        <w:t>.</w:t>
      </w:r>
      <w:r w:rsidRPr="009241BD">
        <w:rPr>
          <w:sz w:val="18"/>
          <w:szCs w:val="18"/>
        </w:rPr>
        <w:t xml:space="preserve"> 57 and followi</w:t>
      </w:r>
      <w:r w:rsidR="000841C6" w:rsidRPr="009241BD">
        <w:rPr>
          <w:sz w:val="18"/>
          <w:szCs w:val="18"/>
        </w:rPr>
        <w:t>ng</w:t>
      </w:r>
      <w:r w:rsidR="006C409C">
        <w:rPr>
          <w:sz w:val="18"/>
          <w:szCs w:val="18"/>
        </w:rPr>
        <w:t xml:space="preserve">, accessible </w:t>
      </w:r>
      <w:hyperlink r:id="rId6" w:history="1">
        <w:r w:rsidR="006C409C" w:rsidRPr="006C409C">
          <w:rPr>
            <w:rStyle w:val="Hyperlink"/>
            <w:sz w:val="18"/>
            <w:szCs w:val="18"/>
          </w:rPr>
          <w:t>here</w:t>
        </w:r>
      </w:hyperlink>
      <w:r w:rsidR="006C409C">
        <w:rPr>
          <w:sz w:val="18"/>
          <w:szCs w:val="18"/>
        </w:rPr>
        <w:t>.</w:t>
      </w:r>
    </w:p>
  </w:footnote>
  <w:footnote w:id="16">
    <w:p w14:paraId="4C67A14C" w14:textId="77777777" w:rsidR="004C0C05" w:rsidRPr="004546B6" w:rsidRDefault="004C0C05" w:rsidP="004546B6">
      <w:pPr>
        <w:pStyle w:val="FootnoteText"/>
        <w:jc w:val="both"/>
        <w:rPr>
          <w:sz w:val="18"/>
          <w:szCs w:val="18"/>
        </w:rPr>
      </w:pPr>
      <w:r w:rsidRPr="004546B6">
        <w:rPr>
          <w:rStyle w:val="FootnoteReference"/>
          <w:sz w:val="18"/>
          <w:szCs w:val="18"/>
        </w:rPr>
        <w:footnoteRef/>
      </w:r>
      <w:r w:rsidRPr="004546B6">
        <w:rPr>
          <w:sz w:val="18"/>
          <w:szCs w:val="18"/>
        </w:rPr>
        <w:t xml:space="preserve"> </w:t>
      </w:r>
      <w:r w:rsidR="003D00CA" w:rsidRPr="004546B6">
        <w:rPr>
          <w:sz w:val="18"/>
          <w:szCs w:val="18"/>
        </w:rPr>
        <w:t>European Parliament and Council Directive 94/62/EC on packaging and packaging waste, OJ L 365, 31.12.1994, p. 10</w:t>
      </w:r>
      <w:r w:rsidR="006619C6" w:rsidRPr="004546B6">
        <w:rPr>
          <w:sz w:val="18"/>
          <w:szCs w:val="18"/>
        </w:rPr>
        <w:t xml:space="preserve">, accessible </w:t>
      </w:r>
      <w:hyperlink r:id="rId7" w:history="1">
        <w:r w:rsidR="006619C6" w:rsidRPr="004546B6">
          <w:rPr>
            <w:rStyle w:val="Hyperlink"/>
            <w:sz w:val="18"/>
            <w:szCs w:val="18"/>
          </w:rPr>
          <w:t>here</w:t>
        </w:r>
      </w:hyperlink>
      <w:r w:rsidR="006619C6" w:rsidRPr="004546B6">
        <w:rPr>
          <w:sz w:val="18"/>
          <w:szCs w:val="18"/>
        </w:rPr>
        <w:t>.</w:t>
      </w:r>
    </w:p>
  </w:footnote>
  <w:footnote w:id="17">
    <w:p w14:paraId="3EA3AEE9" w14:textId="77777777" w:rsidR="004C0C05" w:rsidRPr="004546B6" w:rsidRDefault="004C0C05" w:rsidP="004546B6">
      <w:pPr>
        <w:pStyle w:val="FootnoteText"/>
        <w:jc w:val="both"/>
        <w:rPr>
          <w:sz w:val="18"/>
          <w:szCs w:val="18"/>
        </w:rPr>
      </w:pPr>
      <w:r w:rsidRPr="004546B6">
        <w:rPr>
          <w:rStyle w:val="FootnoteReference"/>
          <w:sz w:val="18"/>
          <w:szCs w:val="18"/>
        </w:rPr>
        <w:footnoteRef/>
      </w:r>
      <w:r w:rsidRPr="004546B6">
        <w:rPr>
          <w:sz w:val="18"/>
          <w:szCs w:val="18"/>
        </w:rPr>
        <w:t xml:space="preserve"> </w:t>
      </w:r>
      <w:r w:rsidR="00DA611C" w:rsidRPr="004546B6">
        <w:rPr>
          <w:sz w:val="18"/>
          <w:szCs w:val="18"/>
        </w:rPr>
        <w:t>Regulation (EU) 2023/1542 of the European Parliament and of the Council concerning batteries and waste batteries, amending Directive 2008/98/EC and Regulation (EU) 2019/1020 and repealing Directive 2006/66/EC, OJ L 191, 28.07.2023, p. 1</w:t>
      </w:r>
      <w:r w:rsidR="006619C6" w:rsidRPr="004546B6">
        <w:rPr>
          <w:sz w:val="18"/>
          <w:szCs w:val="18"/>
        </w:rPr>
        <w:t xml:space="preserve">, accessible </w:t>
      </w:r>
      <w:hyperlink r:id="rId8" w:history="1">
        <w:r w:rsidR="006619C6" w:rsidRPr="004546B6">
          <w:rPr>
            <w:rStyle w:val="Hyperlink"/>
            <w:sz w:val="18"/>
            <w:szCs w:val="18"/>
          </w:rPr>
          <w:t>here</w:t>
        </w:r>
      </w:hyperlink>
      <w:r w:rsidR="006619C6" w:rsidRPr="004546B6">
        <w:rPr>
          <w:sz w:val="18"/>
          <w:szCs w:val="18"/>
        </w:rPr>
        <w:t>.</w:t>
      </w:r>
    </w:p>
  </w:footnote>
  <w:footnote w:id="18">
    <w:p w14:paraId="2879F35E" w14:textId="77777777" w:rsidR="00757C13" w:rsidRPr="004546B6" w:rsidRDefault="00757C13" w:rsidP="004546B6">
      <w:pPr>
        <w:pStyle w:val="FootnoteText"/>
        <w:jc w:val="both"/>
        <w:rPr>
          <w:sz w:val="18"/>
          <w:szCs w:val="18"/>
        </w:rPr>
      </w:pPr>
      <w:r w:rsidRPr="004546B6">
        <w:rPr>
          <w:rStyle w:val="FootnoteReference"/>
          <w:sz w:val="18"/>
          <w:szCs w:val="18"/>
        </w:rPr>
        <w:footnoteRef/>
      </w:r>
      <w:r w:rsidRPr="004546B6">
        <w:rPr>
          <w:sz w:val="18"/>
          <w:szCs w:val="18"/>
        </w:rPr>
        <w:t xml:space="preserve"> Article 12(3) of</w:t>
      </w:r>
      <w:r w:rsidR="00DA611C" w:rsidRPr="004546B6">
        <w:rPr>
          <w:sz w:val="18"/>
          <w:szCs w:val="18"/>
        </w:rPr>
        <w:t xml:space="preserve"> Directive 2012/19/EU of the European Parliament and of the Council on waste electrical and electronic equipment (WEEE), OJ L 197, 24.07.2012, p. 38</w:t>
      </w:r>
      <w:r w:rsidR="006619C6" w:rsidRPr="004546B6">
        <w:rPr>
          <w:sz w:val="18"/>
          <w:szCs w:val="18"/>
        </w:rPr>
        <w:t xml:space="preserve">, accessible </w:t>
      </w:r>
      <w:hyperlink r:id="rId9" w:history="1">
        <w:r w:rsidR="006619C6" w:rsidRPr="004546B6">
          <w:rPr>
            <w:rStyle w:val="Hyperlink"/>
            <w:sz w:val="18"/>
            <w:szCs w:val="18"/>
          </w:rPr>
          <w:t>here</w:t>
        </w:r>
      </w:hyperlink>
      <w:r w:rsidR="006619C6" w:rsidRPr="004546B6">
        <w:rPr>
          <w:sz w:val="18"/>
          <w:szCs w:val="18"/>
        </w:rPr>
        <w:t>.</w:t>
      </w:r>
    </w:p>
  </w:footnote>
  <w:footnote w:id="19">
    <w:p w14:paraId="697A2501" w14:textId="77777777" w:rsidR="008E5510" w:rsidRPr="004546B6" w:rsidRDefault="008E5510" w:rsidP="004546B6">
      <w:pPr>
        <w:pStyle w:val="FootnoteText"/>
        <w:jc w:val="both"/>
        <w:rPr>
          <w:sz w:val="18"/>
          <w:szCs w:val="18"/>
        </w:rPr>
      </w:pPr>
      <w:r w:rsidRPr="004546B6">
        <w:rPr>
          <w:rStyle w:val="FootnoteReference"/>
          <w:sz w:val="18"/>
          <w:szCs w:val="18"/>
        </w:rPr>
        <w:footnoteRef/>
      </w:r>
      <w:r w:rsidRPr="004546B6">
        <w:rPr>
          <w:sz w:val="18"/>
          <w:szCs w:val="18"/>
        </w:rPr>
        <w:t xml:space="preserve"> Recital 101 of </w:t>
      </w:r>
      <w:r w:rsidR="00DA611C" w:rsidRPr="004546B6">
        <w:rPr>
          <w:sz w:val="18"/>
          <w:szCs w:val="18"/>
        </w:rPr>
        <w:t>Regulation (EU) 2023/1542 of the European Parliament and of the Council concerning batteries and waste batteries, amending Directive 2008/98/EC and Regulation (EU) 2019/1020 and repealing Directive 2006/66/EC, OJ L 191, 28.07.2023, p. 1</w:t>
      </w:r>
      <w:r w:rsidR="006619C6" w:rsidRPr="004546B6">
        <w:rPr>
          <w:sz w:val="18"/>
          <w:szCs w:val="18"/>
        </w:rPr>
        <w:t xml:space="preserve">, accessible </w:t>
      </w:r>
      <w:hyperlink r:id="rId10" w:history="1">
        <w:r w:rsidR="006619C6" w:rsidRPr="004546B6">
          <w:rPr>
            <w:rStyle w:val="Hyperlink"/>
            <w:sz w:val="18"/>
            <w:szCs w:val="18"/>
          </w:rPr>
          <w:t>here</w:t>
        </w:r>
      </w:hyperlink>
      <w:r w:rsidR="006619C6" w:rsidRPr="004546B6">
        <w:rPr>
          <w:sz w:val="18"/>
          <w:szCs w:val="18"/>
        </w:rPr>
        <w:t>.</w:t>
      </w:r>
    </w:p>
  </w:footnote>
  <w:footnote w:id="20">
    <w:p w14:paraId="0DEA78A0" w14:textId="77777777" w:rsidR="00073D48" w:rsidRPr="004546B6" w:rsidRDefault="00073D48" w:rsidP="004546B6">
      <w:pPr>
        <w:pStyle w:val="FootnoteText"/>
        <w:jc w:val="both"/>
        <w:rPr>
          <w:sz w:val="18"/>
          <w:szCs w:val="18"/>
        </w:rPr>
      </w:pPr>
      <w:r w:rsidRPr="004546B6">
        <w:rPr>
          <w:rStyle w:val="FootnoteReference"/>
          <w:sz w:val="18"/>
          <w:szCs w:val="18"/>
        </w:rPr>
        <w:footnoteRef/>
      </w:r>
      <w:r w:rsidRPr="004546B6">
        <w:rPr>
          <w:sz w:val="18"/>
          <w:szCs w:val="18"/>
        </w:rPr>
        <w:t xml:space="preserve"> </w:t>
      </w:r>
      <w:r w:rsidR="004546B6" w:rsidRPr="004546B6">
        <w:rPr>
          <w:sz w:val="18"/>
          <w:szCs w:val="18"/>
        </w:rPr>
        <w:t xml:space="preserve">Article 8a(4)(a) of Directive 2008/98/EC of the European Parliament and of the Council on waste and repealing certain Directives, OJ L 312, 22.11.2008, p. 3, accessible </w:t>
      </w:r>
      <w:hyperlink r:id="rId11" w:history="1">
        <w:r w:rsidR="004546B6" w:rsidRPr="004546B6">
          <w:rPr>
            <w:rStyle w:val="Hyperlink"/>
            <w:sz w:val="18"/>
            <w:szCs w:val="18"/>
          </w:rPr>
          <w:t>here</w:t>
        </w:r>
      </w:hyperlink>
      <w:r w:rsidR="004546B6" w:rsidRPr="004546B6">
        <w:rPr>
          <w:sz w:val="18"/>
          <w:szCs w:val="18"/>
        </w:rPr>
        <w:t>.</w:t>
      </w:r>
    </w:p>
  </w:footnote>
  <w:footnote w:id="21">
    <w:p w14:paraId="77223CC2" w14:textId="77777777" w:rsidR="007F3518" w:rsidRPr="00914C93" w:rsidRDefault="007F3518" w:rsidP="004546B6">
      <w:pPr>
        <w:pStyle w:val="FootnoteText"/>
        <w:jc w:val="both"/>
        <w:rPr>
          <w:sz w:val="18"/>
          <w:szCs w:val="18"/>
        </w:rPr>
      </w:pPr>
      <w:r w:rsidRPr="004546B6">
        <w:rPr>
          <w:rStyle w:val="FootnoteReference"/>
          <w:sz w:val="18"/>
          <w:szCs w:val="18"/>
        </w:rPr>
        <w:footnoteRef/>
      </w:r>
      <w:r w:rsidRPr="004546B6">
        <w:rPr>
          <w:sz w:val="18"/>
          <w:szCs w:val="18"/>
        </w:rPr>
        <w:t xml:space="preserve"> Article 8 (2) </w:t>
      </w:r>
      <w:r w:rsidR="00D632AC" w:rsidRPr="004546B6">
        <w:rPr>
          <w:sz w:val="18"/>
          <w:szCs w:val="18"/>
        </w:rPr>
        <w:t xml:space="preserve">of Directive (EU) 2019/904 of the European Parliament and of the Council on the reduction of the impact of certain plastic products on the environment, </w:t>
      </w:r>
      <w:r w:rsidR="00914C93" w:rsidRPr="004546B6">
        <w:rPr>
          <w:sz w:val="18"/>
          <w:szCs w:val="18"/>
        </w:rPr>
        <w:t xml:space="preserve">OJ L 155, 12.06.2019, p. 1, accessible </w:t>
      </w:r>
      <w:hyperlink r:id="rId12" w:history="1">
        <w:r w:rsidR="00914C93" w:rsidRPr="004546B6">
          <w:rPr>
            <w:rStyle w:val="Hyperlink"/>
            <w:sz w:val="18"/>
            <w:szCs w:val="18"/>
          </w:rPr>
          <w:t>here</w:t>
        </w:r>
      </w:hyperlink>
      <w:r w:rsidRPr="004546B6">
        <w:rPr>
          <w:sz w:val="18"/>
          <w:szCs w:val="18"/>
        </w:rPr>
        <w:t>.</w:t>
      </w:r>
    </w:p>
  </w:footnote>
  <w:footnote w:id="22">
    <w:p w14:paraId="10BB1F9B" w14:textId="726E226E" w:rsidR="00DA1DE9" w:rsidRPr="00DA1DE9" w:rsidRDefault="00DA1DE9" w:rsidP="00DA1DE9">
      <w:pPr>
        <w:pStyle w:val="FootnoteText"/>
        <w:jc w:val="both"/>
        <w:rPr>
          <w:sz w:val="18"/>
          <w:szCs w:val="18"/>
        </w:rPr>
      </w:pPr>
      <w:r w:rsidRPr="00DA1DE9">
        <w:rPr>
          <w:rStyle w:val="FootnoteReference"/>
          <w:sz w:val="18"/>
          <w:szCs w:val="18"/>
        </w:rPr>
        <w:footnoteRef/>
      </w:r>
      <w:r w:rsidRPr="00DA1DE9">
        <w:rPr>
          <w:sz w:val="18"/>
          <w:szCs w:val="18"/>
        </w:rPr>
        <w:t xml:space="preserve"> Article 5(4) of the TEU states that “</w:t>
      </w:r>
      <w:r>
        <w:rPr>
          <w:sz w:val="18"/>
          <w:szCs w:val="18"/>
        </w:rPr>
        <w:t>[u]</w:t>
      </w:r>
      <w:proofErr w:type="spellStart"/>
      <w:r w:rsidRPr="00DA1DE9">
        <w:rPr>
          <w:sz w:val="18"/>
          <w:szCs w:val="18"/>
        </w:rPr>
        <w:t>nder</w:t>
      </w:r>
      <w:proofErr w:type="spellEnd"/>
      <w:r w:rsidRPr="00DA1DE9">
        <w:rPr>
          <w:sz w:val="18"/>
          <w:szCs w:val="18"/>
        </w:rPr>
        <w:t xml:space="preserve"> the principle of proportionality, the content and form of Union action shall not exceed what is necessary to achieve the objectives of the Treaties”.</w:t>
      </w:r>
    </w:p>
  </w:footnote>
  <w:footnote w:id="23">
    <w:p w14:paraId="7781C5E0" w14:textId="77777777" w:rsidR="007C05A6" w:rsidRPr="009241BD" w:rsidRDefault="007C05A6" w:rsidP="00DA611C">
      <w:pPr>
        <w:pStyle w:val="FootnoteText"/>
        <w:spacing w:line="240" w:lineRule="exact"/>
        <w:jc w:val="both"/>
        <w:rPr>
          <w:rFonts w:eastAsia="Arial" w:cs="Arial"/>
          <w:sz w:val="18"/>
          <w:szCs w:val="18"/>
        </w:rPr>
      </w:pPr>
      <w:r w:rsidRPr="009241BD">
        <w:rPr>
          <w:rStyle w:val="FootnoteReference"/>
          <w:sz w:val="18"/>
          <w:szCs w:val="18"/>
        </w:rPr>
        <w:footnoteRef/>
      </w:r>
      <w:r w:rsidRPr="009241BD">
        <w:rPr>
          <w:sz w:val="18"/>
          <w:szCs w:val="18"/>
        </w:rPr>
        <w:t xml:space="preserve"> J</w:t>
      </w:r>
      <w:r w:rsidRPr="009241BD">
        <w:rPr>
          <w:rFonts w:eastAsia="Open Sans" w:cs="Open Sans"/>
          <w:color w:val="000000" w:themeColor="text1"/>
          <w:sz w:val="18"/>
          <w:szCs w:val="18"/>
        </w:rPr>
        <w:t xml:space="preserve">udgment of 10 January 2006, </w:t>
      </w:r>
      <w:r w:rsidRPr="009241BD">
        <w:rPr>
          <w:rFonts w:eastAsia="Open Sans" w:cs="Open Sans"/>
          <w:i/>
          <w:iCs/>
          <w:color w:val="000000" w:themeColor="text1"/>
          <w:sz w:val="18"/>
          <w:szCs w:val="18"/>
        </w:rPr>
        <w:t>IATA and ELFAA</w:t>
      </w:r>
      <w:r w:rsidRPr="009241BD">
        <w:rPr>
          <w:rFonts w:eastAsia="Open Sans" w:cs="Open Sans"/>
          <w:color w:val="000000" w:themeColor="text1"/>
          <w:sz w:val="18"/>
          <w:szCs w:val="18"/>
        </w:rPr>
        <w:t>, C</w:t>
      </w:r>
      <w:r w:rsidRPr="009241BD">
        <w:rPr>
          <w:rFonts w:ascii="Times New Roman" w:eastAsia="Open Sans" w:hAnsi="Times New Roman"/>
          <w:color w:val="000000" w:themeColor="text1"/>
          <w:sz w:val="18"/>
          <w:szCs w:val="18"/>
        </w:rPr>
        <w:t>‑</w:t>
      </w:r>
      <w:r w:rsidRPr="009241BD">
        <w:rPr>
          <w:rFonts w:eastAsia="Open Sans" w:cs="Open Sans"/>
          <w:color w:val="000000" w:themeColor="text1"/>
          <w:sz w:val="18"/>
          <w:szCs w:val="18"/>
        </w:rPr>
        <w:t xml:space="preserve">344/04, EU:C:2006:10, paragraph 79: </w:t>
      </w:r>
      <w:r w:rsidRPr="009241BD">
        <w:rPr>
          <w:rFonts w:eastAsia="Open Sans" w:cs="Open Sans"/>
          <w:sz w:val="18"/>
          <w:szCs w:val="18"/>
        </w:rPr>
        <w:t>“</w:t>
      </w:r>
      <w:r w:rsidRPr="009241BD">
        <w:rPr>
          <w:rFonts w:eastAsia="Arial" w:cs="Arial"/>
          <w:sz w:val="18"/>
          <w:szCs w:val="18"/>
        </w:rPr>
        <w:t>The principle of proportionality, which is one of the general principles of Community law, requires that measures implemented through Community provisions should be appropriate for attaining the objective pursued and must not go beyond what is necessary to achieve it.”</w:t>
      </w:r>
    </w:p>
  </w:footnote>
  <w:footnote w:id="24">
    <w:p w14:paraId="489115B0" w14:textId="77777777" w:rsidR="006B71F0" w:rsidRPr="009241BD" w:rsidRDefault="006B71F0" w:rsidP="00B74EEA">
      <w:pPr>
        <w:pStyle w:val="FootnoteText"/>
        <w:jc w:val="both"/>
        <w:rPr>
          <w:sz w:val="18"/>
          <w:szCs w:val="18"/>
        </w:rPr>
      </w:pPr>
      <w:r w:rsidRPr="009241BD">
        <w:rPr>
          <w:rStyle w:val="FootnoteReference"/>
          <w:sz w:val="18"/>
          <w:szCs w:val="18"/>
        </w:rPr>
        <w:footnoteRef/>
      </w:r>
      <w:r w:rsidRPr="009241BD">
        <w:rPr>
          <w:sz w:val="18"/>
          <w:szCs w:val="18"/>
        </w:rPr>
        <w:t xml:space="preserve"> Judgment of 8 June 2010,</w:t>
      </w:r>
      <w:r w:rsidRPr="009241BD">
        <w:rPr>
          <w:i/>
          <w:iCs/>
          <w:sz w:val="18"/>
          <w:szCs w:val="18"/>
        </w:rPr>
        <w:t xml:space="preserve"> Vodafone and Others,</w:t>
      </w:r>
      <w:r w:rsidRPr="009241BD">
        <w:rPr>
          <w:sz w:val="18"/>
          <w:szCs w:val="18"/>
        </w:rPr>
        <w:t xml:space="preserve"> C-58/08, ECLI:EU:C:2010:321, paragraph 51 to 53; Judgment of 12 July 2001, </w:t>
      </w:r>
      <w:proofErr w:type="spellStart"/>
      <w:r w:rsidRPr="009241BD">
        <w:rPr>
          <w:i/>
          <w:iCs/>
          <w:sz w:val="18"/>
          <w:szCs w:val="18"/>
        </w:rPr>
        <w:t>Jippes</w:t>
      </w:r>
      <w:proofErr w:type="spellEnd"/>
      <w:r w:rsidRPr="009241BD">
        <w:rPr>
          <w:sz w:val="18"/>
          <w:szCs w:val="18"/>
        </w:rPr>
        <w:t>, C-189/01, ECLI:EU:C:2001:420, paragraph 81</w:t>
      </w:r>
      <w:r w:rsidR="00192FE3" w:rsidRPr="009241BD">
        <w:rPr>
          <w:sz w:val="18"/>
          <w:szCs w:val="18"/>
        </w:rPr>
        <w:t xml:space="preserve">; </w:t>
      </w:r>
      <w:r w:rsidRPr="009241BD">
        <w:rPr>
          <w:sz w:val="18"/>
          <w:szCs w:val="18"/>
        </w:rPr>
        <w:t xml:space="preserve">Judgment of 13 November 1990, </w:t>
      </w:r>
      <w:r w:rsidRPr="009241BD">
        <w:rPr>
          <w:i/>
          <w:iCs/>
          <w:sz w:val="18"/>
          <w:szCs w:val="18"/>
        </w:rPr>
        <w:t xml:space="preserve">The Queen / Ministry of Agriculture, Fisheries and Food, ex </w:t>
      </w:r>
      <w:proofErr w:type="spellStart"/>
      <w:r w:rsidRPr="009241BD">
        <w:rPr>
          <w:i/>
          <w:iCs/>
          <w:sz w:val="18"/>
          <w:szCs w:val="18"/>
        </w:rPr>
        <w:t>parte</w:t>
      </w:r>
      <w:proofErr w:type="spellEnd"/>
      <w:r w:rsidRPr="009241BD">
        <w:rPr>
          <w:i/>
          <w:iCs/>
          <w:sz w:val="18"/>
          <w:szCs w:val="18"/>
        </w:rPr>
        <w:t xml:space="preserve"> FEDESA and Others</w:t>
      </w:r>
      <w:r w:rsidRPr="009241BD">
        <w:rPr>
          <w:sz w:val="18"/>
          <w:szCs w:val="18"/>
        </w:rPr>
        <w:t>, C-331/88, ECLI:EU:C:1990:391,</w:t>
      </w:r>
      <w:r w:rsidRPr="00DA611C">
        <w:rPr>
          <w:sz w:val="20"/>
          <w:szCs w:val="20"/>
        </w:rPr>
        <w:t xml:space="preserve"> </w:t>
      </w:r>
      <w:r w:rsidRPr="009241BD">
        <w:rPr>
          <w:sz w:val="18"/>
          <w:szCs w:val="18"/>
        </w:rPr>
        <w:t>para. 13</w:t>
      </w:r>
      <w:r w:rsidR="00192FE3" w:rsidRPr="009241BD">
        <w:rPr>
          <w:sz w:val="18"/>
          <w:szCs w:val="18"/>
        </w:rPr>
        <w:t xml:space="preserve">; </w:t>
      </w:r>
      <w:r w:rsidRPr="009241BD">
        <w:rPr>
          <w:sz w:val="18"/>
          <w:szCs w:val="18"/>
        </w:rPr>
        <w:t xml:space="preserve">Judgment of 7 September 2006, </w:t>
      </w:r>
      <w:r w:rsidRPr="009241BD">
        <w:rPr>
          <w:i/>
          <w:iCs/>
          <w:sz w:val="18"/>
          <w:szCs w:val="18"/>
        </w:rPr>
        <w:t>Spain v Council</w:t>
      </w:r>
      <w:r w:rsidRPr="009241BD">
        <w:rPr>
          <w:sz w:val="18"/>
          <w:szCs w:val="18"/>
        </w:rPr>
        <w:t>, C-558/07, ECLI:EU:C:2006:521, para. 95 and following</w:t>
      </w:r>
      <w:r w:rsidR="00192FE3" w:rsidRPr="009241BD">
        <w:rPr>
          <w:sz w:val="18"/>
          <w:szCs w:val="18"/>
        </w:rPr>
        <w:t>.</w:t>
      </w:r>
    </w:p>
  </w:footnote>
  <w:footnote w:id="25">
    <w:p w14:paraId="00F9EFC3" w14:textId="77777777" w:rsidR="00064401" w:rsidRPr="009241BD" w:rsidRDefault="00064401" w:rsidP="009241BD">
      <w:pPr>
        <w:pStyle w:val="FootnoteText"/>
        <w:jc w:val="both"/>
        <w:rPr>
          <w:rFonts w:eastAsia="Georgia" w:cs="Georgia"/>
          <w:sz w:val="18"/>
          <w:szCs w:val="18"/>
        </w:rPr>
      </w:pPr>
      <w:r w:rsidRPr="009241BD">
        <w:rPr>
          <w:rStyle w:val="FootnoteReference"/>
          <w:sz w:val="18"/>
          <w:szCs w:val="18"/>
        </w:rPr>
        <w:footnoteRef/>
      </w:r>
      <w:r w:rsidRPr="009241BD">
        <w:rPr>
          <w:rStyle w:val="FootnoteReference"/>
          <w:sz w:val="18"/>
          <w:szCs w:val="18"/>
        </w:rPr>
        <w:t xml:space="preserve"> </w:t>
      </w:r>
      <w:r w:rsidR="00B74EEA" w:rsidRPr="009241BD">
        <w:rPr>
          <w:rStyle w:val="FootnoteReference"/>
          <w:sz w:val="18"/>
          <w:szCs w:val="18"/>
          <w:vertAlign w:val="baseline"/>
        </w:rPr>
        <w:t xml:space="preserve">Statement </w:t>
      </w:r>
      <w:r w:rsidR="00B74EEA" w:rsidRPr="009241BD">
        <w:rPr>
          <w:sz w:val="18"/>
          <w:szCs w:val="18"/>
        </w:rPr>
        <w:t>by Estonia</w:t>
      </w:r>
      <w:r w:rsidR="00B74EEA" w:rsidRPr="009241BD">
        <w:rPr>
          <w:rStyle w:val="FootnoteReference"/>
          <w:sz w:val="18"/>
          <w:szCs w:val="18"/>
          <w:vertAlign w:val="baseline"/>
        </w:rPr>
        <w:t xml:space="preserve"> on the proposal for a Directive of the European Parliament and of the Council concerning urban wastewater treatment (recast)</w:t>
      </w:r>
      <w:r w:rsidR="00B74EEA" w:rsidRPr="009241BD">
        <w:rPr>
          <w:sz w:val="18"/>
          <w:szCs w:val="18"/>
        </w:rPr>
        <w:t>, 12.10. 2023,</w:t>
      </w:r>
      <w:r w:rsidR="006619C6">
        <w:rPr>
          <w:sz w:val="18"/>
          <w:szCs w:val="18"/>
        </w:rPr>
        <w:t xml:space="preserve"> p. 2,</w:t>
      </w:r>
      <w:r w:rsidR="00B74EEA" w:rsidRPr="009241BD">
        <w:rPr>
          <w:sz w:val="18"/>
          <w:szCs w:val="18"/>
        </w:rPr>
        <w:t xml:space="preserve"> accessible </w:t>
      </w:r>
      <w:hyperlink r:id="rId13" w:history="1">
        <w:r w:rsidR="006619C6" w:rsidRPr="006619C6">
          <w:rPr>
            <w:rStyle w:val="Hyperlink"/>
            <w:sz w:val="18"/>
            <w:szCs w:val="18"/>
          </w:rPr>
          <w:t>here</w:t>
        </w:r>
      </w:hyperlink>
      <w:r w:rsidR="006619C6">
        <w:rPr>
          <w:sz w:val="18"/>
          <w:szCs w:val="18"/>
        </w:rPr>
        <w:t>.</w:t>
      </w:r>
    </w:p>
  </w:footnote>
  <w:footnote w:id="26">
    <w:p w14:paraId="0F6FB1C2" w14:textId="77777777" w:rsidR="0021562B" w:rsidRPr="009241BD" w:rsidRDefault="0021562B" w:rsidP="009241BD">
      <w:pPr>
        <w:pStyle w:val="FootnoteText"/>
        <w:jc w:val="both"/>
        <w:rPr>
          <w:sz w:val="18"/>
          <w:szCs w:val="18"/>
        </w:rPr>
      </w:pPr>
      <w:r w:rsidRPr="009241BD">
        <w:rPr>
          <w:rStyle w:val="FootnoteReference"/>
          <w:sz w:val="18"/>
          <w:szCs w:val="18"/>
        </w:rPr>
        <w:footnoteRef/>
      </w:r>
      <w:r w:rsidRPr="009241BD">
        <w:rPr>
          <w:sz w:val="18"/>
          <w:szCs w:val="18"/>
        </w:rPr>
        <w:t xml:space="preserve"> </w:t>
      </w:r>
      <w:r w:rsidR="00BB5B6C" w:rsidRPr="009241BD">
        <w:rPr>
          <w:sz w:val="18"/>
          <w:szCs w:val="18"/>
        </w:rPr>
        <w:t>Feasibility Study, p. 106</w:t>
      </w:r>
      <w:r w:rsidRPr="009241BD">
        <w:rPr>
          <w:sz w:val="18"/>
          <w:szCs w:val="18"/>
        </w:rPr>
        <w:t>.</w:t>
      </w:r>
    </w:p>
  </w:footnote>
  <w:footnote w:id="27">
    <w:p w14:paraId="4B030F82" w14:textId="77777777" w:rsidR="00F47A5C" w:rsidRPr="006D7F4C" w:rsidRDefault="00F47A5C" w:rsidP="009241BD">
      <w:pPr>
        <w:pStyle w:val="FootnoteText"/>
        <w:jc w:val="both"/>
        <w:rPr>
          <w:sz w:val="20"/>
          <w:szCs w:val="20"/>
        </w:rPr>
      </w:pPr>
      <w:r w:rsidRPr="009241BD">
        <w:rPr>
          <w:rStyle w:val="FootnoteReference"/>
          <w:sz w:val="18"/>
          <w:szCs w:val="18"/>
        </w:rPr>
        <w:footnoteRef/>
      </w:r>
      <w:r w:rsidRPr="009241BD">
        <w:rPr>
          <w:sz w:val="18"/>
          <w:szCs w:val="18"/>
        </w:rPr>
        <w:t xml:space="preserve"> Feasibility Study, p. 102.</w:t>
      </w:r>
    </w:p>
  </w:footnote>
  <w:footnote w:id="28">
    <w:p w14:paraId="4F76BDC3" w14:textId="77777777" w:rsidR="00AA0A39" w:rsidRPr="009241BD" w:rsidRDefault="00AA0A39" w:rsidP="00AA0A39">
      <w:pPr>
        <w:pStyle w:val="FootnoteText"/>
        <w:rPr>
          <w:sz w:val="18"/>
          <w:szCs w:val="18"/>
        </w:rPr>
      </w:pPr>
      <w:r w:rsidRPr="009241BD">
        <w:rPr>
          <w:rStyle w:val="FootnoteReference"/>
          <w:sz w:val="18"/>
          <w:szCs w:val="18"/>
        </w:rPr>
        <w:footnoteRef/>
      </w:r>
      <w:r w:rsidRPr="009241BD">
        <w:rPr>
          <w:sz w:val="18"/>
          <w:szCs w:val="18"/>
        </w:rPr>
        <w:t xml:space="preserve"> Feasibility Study, p. 11</w:t>
      </w:r>
      <w:r w:rsidR="00A01960" w:rsidRPr="009241BD">
        <w:rPr>
          <w:sz w:val="18"/>
          <w:szCs w:val="18"/>
        </w:rPr>
        <w:t>2.</w:t>
      </w:r>
    </w:p>
  </w:footnote>
  <w:footnote w:id="29">
    <w:p w14:paraId="4AA7DF52" w14:textId="77777777" w:rsidR="006A2287" w:rsidRPr="009241BD" w:rsidRDefault="006A2287">
      <w:pPr>
        <w:pStyle w:val="FootnoteText"/>
        <w:rPr>
          <w:sz w:val="18"/>
          <w:szCs w:val="18"/>
        </w:rPr>
      </w:pPr>
      <w:r w:rsidRPr="009241BD">
        <w:rPr>
          <w:rStyle w:val="FootnoteReference"/>
          <w:sz w:val="18"/>
          <w:szCs w:val="18"/>
        </w:rPr>
        <w:footnoteRef/>
      </w:r>
      <w:r w:rsidR="00D84EF8" w:rsidRPr="009241BD">
        <w:rPr>
          <w:sz w:val="18"/>
          <w:szCs w:val="18"/>
        </w:rPr>
        <w:t xml:space="preserve"> Directive 2001/83/EC of the European Parliament and of the Council on the Community code relating to medicinal products for human use, OJ L 311, 28.11.2001, p. 67</w:t>
      </w:r>
      <w:r w:rsidR="00832310">
        <w:rPr>
          <w:sz w:val="18"/>
          <w:szCs w:val="18"/>
        </w:rPr>
        <w:t xml:space="preserve">, accessible </w:t>
      </w:r>
      <w:hyperlink r:id="rId14" w:history="1">
        <w:r w:rsidR="00832310" w:rsidRPr="00832310">
          <w:rPr>
            <w:rStyle w:val="Hyperlink"/>
            <w:sz w:val="18"/>
            <w:szCs w:val="18"/>
          </w:rPr>
          <w:t>here</w:t>
        </w:r>
      </w:hyperlink>
      <w:r w:rsidR="00832310">
        <w:rPr>
          <w:sz w:val="18"/>
          <w:szCs w:val="18"/>
        </w:rPr>
        <w:t>.</w:t>
      </w:r>
    </w:p>
  </w:footnote>
  <w:footnote w:id="30">
    <w:p w14:paraId="252F231C" w14:textId="77777777" w:rsidR="006956EC" w:rsidRPr="009241BD" w:rsidRDefault="006956EC" w:rsidP="009241BD">
      <w:pPr>
        <w:pStyle w:val="FootnoteText"/>
        <w:jc w:val="both"/>
        <w:rPr>
          <w:rFonts w:cstheme="minorHAnsi"/>
          <w:sz w:val="18"/>
          <w:szCs w:val="18"/>
        </w:rPr>
      </w:pPr>
      <w:r w:rsidRPr="009241BD">
        <w:rPr>
          <w:rStyle w:val="FootnoteReference"/>
          <w:sz w:val="18"/>
          <w:szCs w:val="18"/>
        </w:rPr>
        <w:footnoteRef/>
      </w:r>
      <w:r w:rsidRPr="009241BD">
        <w:rPr>
          <w:rStyle w:val="FootnoteReference"/>
          <w:sz w:val="18"/>
          <w:szCs w:val="18"/>
        </w:rPr>
        <w:t xml:space="preserve"> </w:t>
      </w:r>
      <w:r w:rsidRPr="009241BD">
        <w:rPr>
          <w:rStyle w:val="FootnoteReference"/>
          <w:sz w:val="18"/>
          <w:szCs w:val="18"/>
          <w:vertAlign w:val="baseline"/>
        </w:rPr>
        <w:t>Recital 21 of the UWWTD states that “the available data, the potential increase of costs of the products or the potential reduction of the profit margins of the industries placing the products on the Union market due to the application of the extended producer responsibility would be marginal at EU level and would not endanger the affordability, availability and accessibility to these products on the EU market.”</w:t>
      </w:r>
    </w:p>
  </w:footnote>
  <w:footnote w:id="31">
    <w:p w14:paraId="1C62A63E" w14:textId="77777777" w:rsidR="00C0047E" w:rsidRPr="009241BD" w:rsidRDefault="00C0047E" w:rsidP="009241BD">
      <w:pPr>
        <w:pStyle w:val="FootnoteText"/>
        <w:jc w:val="both"/>
        <w:rPr>
          <w:sz w:val="18"/>
          <w:szCs w:val="18"/>
        </w:rPr>
      </w:pPr>
      <w:r w:rsidRPr="009241BD">
        <w:rPr>
          <w:rStyle w:val="FootnoteReference"/>
          <w:sz w:val="18"/>
          <w:szCs w:val="18"/>
        </w:rPr>
        <w:footnoteRef/>
      </w:r>
      <w:r w:rsidRPr="009241BD">
        <w:rPr>
          <w:sz w:val="18"/>
          <w:szCs w:val="18"/>
        </w:rPr>
        <w:t xml:space="preserve"> Feasibility Study, p. 137.</w:t>
      </w:r>
    </w:p>
  </w:footnote>
  <w:footnote w:id="32">
    <w:p w14:paraId="0F904D6D" w14:textId="77777777" w:rsidR="00453ABD" w:rsidRPr="009241BD" w:rsidRDefault="00453ABD" w:rsidP="009241BD">
      <w:pPr>
        <w:pStyle w:val="FootnoteText"/>
        <w:jc w:val="both"/>
        <w:rPr>
          <w:sz w:val="18"/>
          <w:szCs w:val="18"/>
        </w:rPr>
      </w:pPr>
      <w:r w:rsidRPr="009241BD">
        <w:rPr>
          <w:rStyle w:val="FootnoteReference"/>
          <w:sz w:val="18"/>
          <w:szCs w:val="18"/>
        </w:rPr>
        <w:footnoteRef/>
      </w:r>
      <w:r w:rsidRPr="009241BD">
        <w:rPr>
          <w:sz w:val="18"/>
          <w:szCs w:val="18"/>
        </w:rPr>
        <w:t xml:space="preserve"> Article 168(1) of the TFEU states that “a high level of human health protection shall be ensured in the definition and implementation of all Union policies and activities.”</w:t>
      </w:r>
    </w:p>
  </w:footnote>
  <w:footnote w:id="33">
    <w:p w14:paraId="2DF70B37" w14:textId="77777777" w:rsidR="000C37BB" w:rsidRPr="009241BD" w:rsidRDefault="000C37BB" w:rsidP="009241BD">
      <w:pPr>
        <w:pStyle w:val="FootnoteText"/>
        <w:jc w:val="both"/>
        <w:rPr>
          <w:sz w:val="18"/>
          <w:szCs w:val="18"/>
        </w:rPr>
      </w:pPr>
      <w:r w:rsidRPr="009241BD">
        <w:rPr>
          <w:rStyle w:val="FootnoteReference"/>
          <w:sz w:val="18"/>
          <w:szCs w:val="18"/>
        </w:rPr>
        <w:footnoteRef/>
      </w:r>
      <w:r w:rsidRPr="009241BD">
        <w:rPr>
          <w:sz w:val="18"/>
          <w:szCs w:val="18"/>
        </w:rPr>
        <w:t xml:space="preserve"> </w:t>
      </w:r>
      <w:r w:rsidR="00154193">
        <w:rPr>
          <w:sz w:val="18"/>
          <w:szCs w:val="18"/>
        </w:rPr>
        <w:t xml:space="preserve">Communication from the Commission, Guiding criteria and principles for the essential use concept in EU legislation dealing with chemicals, </w:t>
      </w:r>
      <w:r w:rsidR="000A1475">
        <w:rPr>
          <w:sz w:val="18"/>
          <w:szCs w:val="18"/>
        </w:rPr>
        <w:t>22.04.2024, C(2024) 1995 final, p</w:t>
      </w:r>
      <w:r w:rsidRPr="009241BD">
        <w:rPr>
          <w:sz w:val="18"/>
          <w:szCs w:val="18"/>
        </w:rPr>
        <w:t>.</w:t>
      </w:r>
      <w:r w:rsidR="000A1475">
        <w:rPr>
          <w:sz w:val="18"/>
          <w:szCs w:val="18"/>
        </w:rPr>
        <w:t xml:space="preserve"> 2, accessible </w:t>
      </w:r>
      <w:hyperlink r:id="rId15" w:history="1">
        <w:r w:rsidR="00832310" w:rsidRPr="00832310">
          <w:rPr>
            <w:rStyle w:val="Hyperlink"/>
            <w:sz w:val="18"/>
            <w:szCs w:val="18"/>
          </w:rPr>
          <w:t>here</w:t>
        </w:r>
      </w:hyperlink>
      <w:r w:rsidR="00832310">
        <w:rPr>
          <w:sz w:val="18"/>
          <w:szCs w:val="18"/>
        </w:rPr>
        <w:t>.</w:t>
      </w:r>
    </w:p>
  </w:footnote>
  <w:footnote w:id="34">
    <w:p w14:paraId="797614CB" w14:textId="77777777" w:rsidR="00C0047E" w:rsidRPr="009241BD" w:rsidRDefault="00C0047E" w:rsidP="00C0047E">
      <w:pPr>
        <w:pStyle w:val="FootnoteText"/>
        <w:jc w:val="both"/>
        <w:rPr>
          <w:sz w:val="18"/>
          <w:szCs w:val="18"/>
        </w:rPr>
      </w:pPr>
      <w:r w:rsidRPr="009241BD">
        <w:rPr>
          <w:rStyle w:val="FootnoteReference"/>
          <w:sz w:val="18"/>
          <w:szCs w:val="18"/>
        </w:rPr>
        <w:footnoteRef/>
      </w:r>
      <w:r w:rsidRPr="009241BD">
        <w:rPr>
          <w:sz w:val="18"/>
          <w:szCs w:val="18"/>
        </w:rPr>
        <w:t xml:space="preserve"> Communication from the Commission to the European Parliament, the Council and the European Economic and Social Committee, European Union Strategic Approach to Pharmaceuticals in the Environment, 11</w:t>
      </w:r>
      <w:r w:rsidR="000A1475">
        <w:rPr>
          <w:sz w:val="18"/>
          <w:szCs w:val="18"/>
        </w:rPr>
        <w:t>.03.</w:t>
      </w:r>
      <w:r w:rsidRPr="009241BD">
        <w:rPr>
          <w:sz w:val="18"/>
          <w:szCs w:val="18"/>
        </w:rPr>
        <w:t>2019,</w:t>
      </w:r>
      <w:r w:rsidR="000A1475">
        <w:rPr>
          <w:sz w:val="18"/>
          <w:szCs w:val="18"/>
        </w:rPr>
        <w:t xml:space="preserve"> COM(2019) 128 final,</w:t>
      </w:r>
      <w:r w:rsidRPr="009241BD">
        <w:rPr>
          <w:sz w:val="18"/>
          <w:szCs w:val="18"/>
        </w:rPr>
        <w:t xml:space="preserve"> p. 6, accessible </w:t>
      </w:r>
      <w:hyperlink r:id="rId16" w:history="1">
        <w:r w:rsidR="00832310" w:rsidRPr="00832310">
          <w:rPr>
            <w:rStyle w:val="Hyperlink"/>
            <w:sz w:val="18"/>
            <w:szCs w:val="18"/>
          </w:rPr>
          <w:t>here</w:t>
        </w:r>
      </w:hyperlink>
      <w:r w:rsidRPr="009241BD">
        <w:rPr>
          <w:sz w:val="18"/>
          <w:szCs w:val="18"/>
        </w:rPr>
        <w:t xml:space="preserve">. </w:t>
      </w:r>
    </w:p>
  </w:footnote>
  <w:footnote w:id="35">
    <w:p w14:paraId="4208AB74" w14:textId="77777777" w:rsidR="00515311" w:rsidRPr="009241BD" w:rsidRDefault="00515311" w:rsidP="009241BD">
      <w:pPr>
        <w:pStyle w:val="FootnoteText"/>
        <w:jc w:val="both"/>
        <w:rPr>
          <w:rStyle w:val="FootnoteReference"/>
          <w:sz w:val="18"/>
          <w:szCs w:val="18"/>
          <w:vertAlign w:val="baseline"/>
        </w:rPr>
      </w:pPr>
      <w:r w:rsidRPr="009241BD">
        <w:rPr>
          <w:rStyle w:val="FootnoteReference"/>
          <w:sz w:val="18"/>
          <w:szCs w:val="18"/>
        </w:rPr>
        <w:footnoteRef/>
      </w:r>
      <w:r w:rsidRPr="009241BD">
        <w:rPr>
          <w:rStyle w:val="FootnoteReference"/>
          <w:sz w:val="18"/>
          <w:szCs w:val="18"/>
        </w:rPr>
        <w:t xml:space="preserve"> </w:t>
      </w:r>
      <w:r w:rsidRPr="009241BD">
        <w:rPr>
          <w:rStyle w:val="FootnoteReference"/>
          <w:sz w:val="18"/>
          <w:szCs w:val="18"/>
          <w:vertAlign w:val="baseline"/>
        </w:rPr>
        <w:t xml:space="preserve">Judgment of 14 September 2010, </w:t>
      </w:r>
      <w:r w:rsidRPr="009241BD">
        <w:rPr>
          <w:rStyle w:val="FootnoteReference"/>
          <w:i/>
          <w:iCs/>
          <w:sz w:val="18"/>
          <w:szCs w:val="18"/>
          <w:vertAlign w:val="baseline"/>
        </w:rPr>
        <w:t xml:space="preserve">Akzo Nobel Chemicals and </w:t>
      </w:r>
      <w:proofErr w:type="spellStart"/>
      <w:r w:rsidRPr="009241BD">
        <w:rPr>
          <w:rStyle w:val="FootnoteReference"/>
          <w:i/>
          <w:iCs/>
          <w:sz w:val="18"/>
          <w:szCs w:val="18"/>
          <w:vertAlign w:val="baseline"/>
        </w:rPr>
        <w:t>Akcros</w:t>
      </w:r>
      <w:proofErr w:type="spellEnd"/>
      <w:r w:rsidRPr="009241BD">
        <w:rPr>
          <w:rStyle w:val="FootnoteReference"/>
          <w:i/>
          <w:iCs/>
          <w:sz w:val="18"/>
          <w:szCs w:val="18"/>
          <w:vertAlign w:val="baseline"/>
        </w:rPr>
        <w:t xml:space="preserve"> Chemicals v Commission</w:t>
      </w:r>
      <w:r w:rsidRPr="009241BD">
        <w:rPr>
          <w:rStyle w:val="FootnoteReference"/>
          <w:sz w:val="18"/>
          <w:szCs w:val="18"/>
          <w:vertAlign w:val="baseline"/>
        </w:rPr>
        <w:t>, C-550/07 P, ECLI:EU:C:2010:512, paras. 54.</w:t>
      </w:r>
    </w:p>
  </w:footnote>
  <w:footnote w:id="36">
    <w:p w14:paraId="61A656C8" w14:textId="77777777" w:rsidR="00515311" w:rsidRPr="009241BD" w:rsidRDefault="00515311" w:rsidP="009241BD">
      <w:pPr>
        <w:pStyle w:val="FootnoteText"/>
        <w:jc w:val="both"/>
        <w:rPr>
          <w:rStyle w:val="FootnoteReference"/>
          <w:sz w:val="18"/>
          <w:szCs w:val="18"/>
          <w:vertAlign w:val="baseline"/>
        </w:rPr>
      </w:pPr>
      <w:r w:rsidRPr="009241BD">
        <w:rPr>
          <w:rStyle w:val="FootnoteReference"/>
          <w:sz w:val="18"/>
          <w:szCs w:val="18"/>
        </w:rPr>
        <w:footnoteRef/>
      </w:r>
      <w:r w:rsidRPr="009241BD">
        <w:rPr>
          <w:rStyle w:val="FootnoteReference"/>
          <w:sz w:val="18"/>
          <w:szCs w:val="18"/>
          <w:vertAlign w:val="baseline"/>
        </w:rPr>
        <w:t xml:space="preserve"> Judgment of 8 July 2010, </w:t>
      </w:r>
      <w:r w:rsidRPr="009241BD">
        <w:rPr>
          <w:rStyle w:val="FootnoteReference"/>
          <w:i/>
          <w:iCs/>
          <w:sz w:val="18"/>
          <w:szCs w:val="18"/>
          <w:vertAlign w:val="baseline"/>
        </w:rPr>
        <w:t>Afton Chemical</w:t>
      </w:r>
      <w:r w:rsidRPr="009241BD">
        <w:rPr>
          <w:rStyle w:val="FootnoteReference"/>
          <w:sz w:val="18"/>
          <w:szCs w:val="18"/>
          <w:vertAlign w:val="baseline"/>
        </w:rPr>
        <w:t xml:space="preserve">, C-343/09, ECLI:EU:2010:419, para. 74; Judgment of 7 July 2009, </w:t>
      </w:r>
      <w:r w:rsidRPr="009241BD">
        <w:rPr>
          <w:rStyle w:val="FootnoteReference"/>
          <w:i/>
          <w:iCs/>
          <w:sz w:val="18"/>
          <w:szCs w:val="18"/>
          <w:vertAlign w:val="baseline"/>
        </w:rPr>
        <w:t>S.P.C.M. and Others</w:t>
      </w:r>
      <w:r w:rsidRPr="009241BD">
        <w:rPr>
          <w:rStyle w:val="FootnoteReference"/>
          <w:sz w:val="18"/>
          <w:szCs w:val="18"/>
          <w:vertAlign w:val="baseline"/>
        </w:rPr>
        <w:t xml:space="preserve">, C-558/07, ECLI:EU:C:2009:430, para. 74; Judgment of 14 December 2004, </w:t>
      </w:r>
      <w:r w:rsidRPr="009241BD">
        <w:rPr>
          <w:rStyle w:val="FootnoteReference"/>
          <w:i/>
          <w:iCs/>
          <w:sz w:val="18"/>
          <w:szCs w:val="18"/>
          <w:vertAlign w:val="baseline"/>
        </w:rPr>
        <w:t>Swedish Match</w:t>
      </w:r>
      <w:r w:rsidRPr="009241BD">
        <w:rPr>
          <w:rStyle w:val="FootnoteReference"/>
          <w:sz w:val="18"/>
          <w:szCs w:val="18"/>
          <w:vertAlign w:val="baseline"/>
        </w:rPr>
        <w:t xml:space="preserve">, C-210/03, ECLI:EU:2004:802, para. 70; Judgment of 9 September 2004, </w:t>
      </w:r>
      <w:r w:rsidRPr="009241BD">
        <w:rPr>
          <w:rStyle w:val="FootnoteReference"/>
          <w:i/>
          <w:iCs/>
          <w:sz w:val="18"/>
          <w:szCs w:val="18"/>
          <w:vertAlign w:val="baseline"/>
        </w:rPr>
        <w:t>Spain v Commission</w:t>
      </w:r>
      <w:r w:rsidRPr="009241BD">
        <w:rPr>
          <w:rStyle w:val="FootnoteReference"/>
          <w:sz w:val="18"/>
          <w:szCs w:val="18"/>
          <w:vertAlign w:val="baseline"/>
        </w:rPr>
        <w:t>, C-304/01, ECLI:EU:2004:495, para. 31; Judgment of 12 November 2014</w:t>
      </w:r>
      <w:r w:rsidRPr="009241BD">
        <w:rPr>
          <w:rStyle w:val="FootnoteReference"/>
          <w:i/>
          <w:iCs/>
          <w:sz w:val="18"/>
          <w:szCs w:val="18"/>
          <w:vertAlign w:val="baseline"/>
        </w:rPr>
        <w:t>, Guardian Industries and Guardian Europe v Commission</w:t>
      </w:r>
      <w:r w:rsidRPr="009241BD">
        <w:rPr>
          <w:rStyle w:val="FootnoteReference"/>
          <w:sz w:val="18"/>
          <w:szCs w:val="18"/>
          <w:vertAlign w:val="baseline"/>
        </w:rPr>
        <w:t xml:space="preserve">, C-580/12 P, ECLI:EU:2014:2363, para. 51; Judgment of 14 September 2010, </w:t>
      </w:r>
      <w:r w:rsidRPr="009241BD">
        <w:rPr>
          <w:rStyle w:val="FootnoteReference"/>
          <w:i/>
          <w:iCs/>
          <w:sz w:val="18"/>
          <w:szCs w:val="18"/>
          <w:vertAlign w:val="baseline"/>
        </w:rPr>
        <w:t xml:space="preserve">Akzo Nobel Chemicals and </w:t>
      </w:r>
      <w:proofErr w:type="spellStart"/>
      <w:r w:rsidRPr="009241BD">
        <w:rPr>
          <w:rStyle w:val="FootnoteReference"/>
          <w:i/>
          <w:iCs/>
          <w:sz w:val="18"/>
          <w:szCs w:val="18"/>
          <w:vertAlign w:val="baseline"/>
        </w:rPr>
        <w:t>Akcros</w:t>
      </w:r>
      <w:proofErr w:type="spellEnd"/>
      <w:r w:rsidRPr="009241BD">
        <w:rPr>
          <w:rStyle w:val="FootnoteReference"/>
          <w:i/>
          <w:iCs/>
          <w:sz w:val="18"/>
          <w:szCs w:val="18"/>
          <w:vertAlign w:val="baseline"/>
        </w:rPr>
        <w:t xml:space="preserve"> Chemicals v Commission</w:t>
      </w:r>
      <w:r w:rsidRPr="009241BD">
        <w:rPr>
          <w:rStyle w:val="FootnoteReference"/>
          <w:sz w:val="18"/>
          <w:szCs w:val="18"/>
          <w:vertAlign w:val="baseline"/>
        </w:rPr>
        <w:t xml:space="preserve">, C-550/07 P, ECLI:EU:C:2010:512, paras. 54-55; Judgment of 3 May 2007, </w:t>
      </w:r>
      <w:proofErr w:type="spellStart"/>
      <w:r w:rsidRPr="009241BD">
        <w:rPr>
          <w:rStyle w:val="FootnoteReference"/>
          <w:i/>
          <w:iCs/>
          <w:sz w:val="18"/>
          <w:szCs w:val="18"/>
          <w:vertAlign w:val="baseline"/>
        </w:rPr>
        <w:t>Advocaten</w:t>
      </w:r>
      <w:proofErr w:type="spellEnd"/>
      <w:r w:rsidRPr="009241BD">
        <w:rPr>
          <w:rStyle w:val="FootnoteReference"/>
          <w:i/>
          <w:iCs/>
          <w:sz w:val="18"/>
          <w:szCs w:val="18"/>
          <w:vertAlign w:val="baseline"/>
        </w:rPr>
        <w:t xml:space="preserve"> </w:t>
      </w:r>
      <w:proofErr w:type="spellStart"/>
      <w:r w:rsidRPr="009241BD">
        <w:rPr>
          <w:rStyle w:val="FootnoteReference"/>
          <w:i/>
          <w:iCs/>
          <w:sz w:val="18"/>
          <w:szCs w:val="18"/>
          <w:vertAlign w:val="baseline"/>
        </w:rPr>
        <w:t>voor</w:t>
      </w:r>
      <w:proofErr w:type="spellEnd"/>
      <w:r w:rsidRPr="009241BD">
        <w:rPr>
          <w:rStyle w:val="FootnoteReference"/>
          <w:i/>
          <w:iCs/>
          <w:sz w:val="18"/>
          <w:szCs w:val="18"/>
          <w:vertAlign w:val="baseline"/>
        </w:rPr>
        <w:t xml:space="preserve"> de </w:t>
      </w:r>
      <w:proofErr w:type="spellStart"/>
      <w:r w:rsidRPr="009241BD">
        <w:rPr>
          <w:rStyle w:val="FootnoteReference"/>
          <w:i/>
          <w:iCs/>
          <w:sz w:val="18"/>
          <w:szCs w:val="18"/>
          <w:vertAlign w:val="baseline"/>
        </w:rPr>
        <w:t>Wereld</w:t>
      </w:r>
      <w:proofErr w:type="spellEnd"/>
      <w:r w:rsidRPr="009241BD">
        <w:rPr>
          <w:rStyle w:val="FootnoteReference"/>
          <w:sz w:val="18"/>
          <w:szCs w:val="18"/>
          <w:vertAlign w:val="baseline"/>
        </w:rPr>
        <w:t xml:space="preserve">, C-303/05, ECLI:EU:C:2007:261, para. 56; Judgment of 16 December 2008, </w:t>
      </w:r>
      <w:r w:rsidRPr="009241BD">
        <w:rPr>
          <w:rStyle w:val="FootnoteReference"/>
          <w:i/>
          <w:iCs/>
          <w:sz w:val="18"/>
          <w:szCs w:val="18"/>
          <w:vertAlign w:val="baseline"/>
        </w:rPr>
        <w:t>Arcelor Atlantique and Lorraine v Others</w:t>
      </w:r>
      <w:r w:rsidRPr="009241BD">
        <w:rPr>
          <w:rStyle w:val="FootnoteReference"/>
          <w:sz w:val="18"/>
          <w:szCs w:val="18"/>
          <w:vertAlign w:val="baseline"/>
        </w:rPr>
        <w:t xml:space="preserve">, C-127/07, ECLI:EU:C:2008:728, para. 23; Judgment of 26 October 2006, </w:t>
      </w:r>
      <w:proofErr w:type="spellStart"/>
      <w:r w:rsidRPr="009241BD">
        <w:rPr>
          <w:rStyle w:val="FootnoteReference"/>
          <w:i/>
          <w:iCs/>
          <w:sz w:val="18"/>
          <w:szCs w:val="18"/>
          <w:vertAlign w:val="baseline"/>
        </w:rPr>
        <w:t>Koninklijke</w:t>
      </w:r>
      <w:proofErr w:type="spellEnd"/>
      <w:r w:rsidRPr="009241BD">
        <w:rPr>
          <w:rStyle w:val="FootnoteReference"/>
          <w:i/>
          <w:iCs/>
          <w:sz w:val="18"/>
          <w:szCs w:val="18"/>
          <w:vertAlign w:val="baseline"/>
        </w:rPr>
        <w:t xml:space="preserve"> </w:t>
      </w:r>
      <w:proofErr w:type="spellStart"/>
      <w:r w:rsidRPr="009241BD">
        <w:rPr>
          <w:rStyle w:val="FootnoteReference"/>
          <w:i/>
          <w:iCs/>
          <w:sz w:val="18"/>
          <w:szCs w:val="18"/>
          <w:vertAlign w:val="baseline"/>
        </w:rPr>
        <w:t>Coöperatie</w:t>
      </w:r>
      <w:proofErr w:type="spellEnd"/>
      <w:r w:rsidRPr="009241BD">
        <w:rPr>
          <w:rStyle w:val="FootnoteReference"/>
          <w:i/>
          <w:iCs/>
          <w:sz w:val="18"/>
          <w:szCs w:val="18"/>
          <w:vertAlign w:val="baseline"/>
        </w:rPr>
        <w:t xml:space="preserve"> </w:t>
      </w:r>
      <w:proofErr w:type="spellStart"/>
      <w:r w:rsidRPr="009241BD">
        <w:rPr>
          <w:rStyle w:val="FootnoteReference"/>
          <w:i/>
          <w:iCs/>
          <w:sz w:val="18"/>
          <w:szCs w:val="18"/>
          <w:vertAlign w:val="baseline"/>
        </w:rPr>
        <w:t>Cosun</w:t>
      </w:r>
      <w:proofErr w:type="spellEnd"/>
      <w:r w:rsidRPr="009241BD">
        <w:rPr>
          <w:rStyle w:val="FootnoteReference"/>
          <w:sz w:val="18"/>
          <w:szCs w:val="18"/>
          <w:vertAlign w:val="baseline"/>
        </w:rPr>
        <w:t>, C-248/04, ECLI:EU:C:2006,666, para. 72.</w:t>
      </w:r>
    </w:p>
  </w:footnote>
  <w:footnote w:id="37">
    <w:p w14:paraId="7B7B2111" w14:textId="77777777" w:rsidR="00515311" w:rsidRPr="006D7F4C" w:rsidRDefault="00515311" w:rsidP="009241BD">
      <w:pPr>
        <w:pStyle w:val="FootnoteText"/>
        <w:jc w:val="both"/>
        <w:rPr>
          <w:sz w:val="20"/>
          <w:szCs w:val="20"/>
        </w:rPr>
      </w:pPr>
      <w:r w:rsidRPr="009241BD">
        <w:rPr>
          <w:rStyle w:val="FootnoteReference"/>
          <w:sz w:val="18"/>
          <w:szCs w:val="18"/>
        </w:rPr>
        <w:footnoteRef/>
      </w:r>
      <w:r w:rsidRPr="009241BD">
        <w:rPr>
          <w:rStyle w:val="FootnoteReference"/>
          <w:sz w:val="18"/>
          <w:szCs w:val="18"/>
          <w:vertAlign w:val="baseline"/>
        </w:rPr>
        <w:t xml:space="preserve"> Judgment of 17 October 2013, </w:t>
      </w:r>
      <w:r w:rsidRPr="009241BD">
        <w:rPr>
          <w:rStyle w:val="FootnoteReference"/>
          <w:i/>
          <w:iCs/>
          <w:sz w:val="18"/>
          <w:szCs w:val="18"/>
          <w:vertAlign w:val="baseline"/>
        </w:rPr>
        <w:t>Schaible</w:t>
      </w:r>
      <w:r w:rsidRPr="009241BD">
        <w:rPr>
          <w:rStyle w:val="FootnoteReference"/>
          <w:sz w:val="18"/>
          <w:szCs w:val="18"/>
          <w:vertAlign w:val="baseline"/>
        </w:rPr>
        <w:t xml:space="preserve">, C-101/12, ECLI:EU:C:2013:661, para. 77; Judgment of 16 December 2008, </w:t>
      </w:r>
      <w:r w:rsidRPr="009241BD">
        <w:rPr>
          <w:rStyle w:val="FootnoteReference"/>
          <w:i/>
          <w:iCs/>
          <w:sz w:val="18"/>
          <w:szCs w:val="18"/>
          <w:vertAlign w:val="baseline"/>
        </w:rPr>
        <w:t>Arcelor Atlantique and Lorraine v Others</w:t>
      </w:r>
      <w:r w:rsidRPr="009241BD">
        <w:rPr>
          <w:rStyle w:val="FootnoteReference"/>
          <w:sz w:val="18"/>
          <w:szCs w:val="18"/>
          <w:vertAlign w:val="baseline"/>
        </w:rPr>
        <w:t>, C-127/07, ECLI:EU:C:2008:728, para.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096DD" w14:textId="7BF4B851" w:rsidR="00B95975" w:rsidRPr="00C72D2C" w:rsidRDefault="00B95975" w:rsidP="00DE54AB">
    <w:pPr>
      <w:pStyle w:val="Header"/>
      <w:spacing w:after="40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1CFB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C07A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D2B6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7A5D1A"/>
    <w:lvl w:ilvl="0">
      <w:start w:val="1"/>
      <w:numFmt w:val="decimal"/>
      <w:pStyle w:val="NumberedParaDouble"/>
      <w:lvlText w:val="%1."/>
      <w:lvlJc w:val="left"/>
      <w:pPr>
        <w:tabs>
          <w:tab w:val="num" w:pos="1800"/>
        </w:tabs>
        <w:ind w:left="0" w:firstLine="1440"/>
      </w:pPr>
    </w:lvl>
  </w:abstractNum>
  <w:abstractNum w:abstractNumId="4" w15:restartNumberingAfterBreak="0">
    <w:nsid w:val="FFFFFF80"/>
    <w:multiLevelType w:val="singleLevel"/>
    <w:tmpl w:val="9558B8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F8B9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16FC4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BCA7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2CC0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EEE0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B0FF5"/>
    <w:multiLevelType w:val="hybridMultilevel"/>
    <w:tmpl w:val="2BACC892"/>
    <w:lvl w:ilvl="0" w:tplc="FFFFFFFF">
      <w:numFmt w:val="bullet"/>
      <w:lvlText w:val="-"/>
      <w:lvlJc w:val="left"/>
      <w:pPr>
        <w:ind w:left="644" w:hanging="360"/>
      </w:pPr>
      <w:rPr>
        <w:rFonts w:ascii="Georgia" w:hAnsi="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131DB7"/>
    <w:multiLevelType w:val="hybridMultilevel"/>
    <w:tmpl w:val="F3F6DF4E"/>
    <w:lvl w:ilvl="0" w:tplc="E96C7D7E">
      <w:start w:val="1"/>
      <w:numFmt w:val="upperRoman"/>
      <w:pStyle w:val="Heading1"/>
      <w:lvlText w:val="%1."/>
      <w:lvlJc w:val="left"/>
      <w:pPr>
        <w:tabs>
          <w:tab w:val="num" w:pos="720"/>
        </w:tabs>
        <w:ind w:left="720" w:hanging="720"/>
      </w:pPr>
      <w:rPr>
        <w:b/>
        <w:bCs/>
        <w:u w:val="none"/>
      </w:rPr>
    </w:lvl>
    <w:lvl w:ilvl="1" w:tplc="76D42EC8">
      <w:start w:val="1"/>
      <w:numFmt w:val="upperLetter"/>
      <w:pStyle w:val="Heading2"/>
      <w:lvlText w:val="%2."/>
      <w:lvlJc w:val="left"/>
      <w:pPr>
        <w:tabs>
          <w:tab w:val="num" w:pos="1440"/>
        </w:tabs>
        <w:ind w:left="1440" w:hanging="720"/>
      </w:pPr>
      <w:rPr>
        <w:b/>
        <w:bCs/>
        <w:u w:val="none"/>
      </w:rPr>
    </w:lvl>
    <w:lvl w:ilvl="2" w:tplc="5B38F2B8">
      <w:start w:val="1"/>
      <w:numFmt w:val="decimal"/>
      <w:pStyle w:val="Heading3"/>
      <w:lvlText w:val="%3."/>
      <w:lvlJc w:val="left"/>
      <w:pPr>
        <w:tabs>
          <w:tab w:val="num" w:pos="2430"/>
        </w:tabs>
        <w:ind w:left="2430" w:hanging="720"/>
      </w:pPr>
      <w:rPr>
        <w:b/>
        <w:bCs/>
        <w:u w:val="none"/>
      </w:rPr>
    </w:lvl>
    <w:lvl w:ilvl="3" w:tplc="BE8A6A7A">
      <w:start w:val="1"/>
      <w:numFmt w:val="lowerLetter"/>
      <w:pStyle w:val="Heading4"/>
      <w:lvlText w:val="%4)"/>
      <w:lvlJc w:val="left"/>
      <w:pPr>
        <w:tabs>
          <w:tab w:val="num" w:pos="1855"/>
        </w:tabs>
        <w:ind w:left="1855" w:hanging="720"/>
      </w:pPr>
      <w:rPr>
        <w:u w:val="none"/>
      </w:rPr>
    </w:lvl>
    <w:lvl w:ilvl="4" w:tplc="2C46EBFE">
      <w:start w:val="1"/>
      <w:numFmt w:val="decimal"/>
      <w:pStyle w:val="Heading5"/>
      <w:lvlText w:val="(%5)"/>
      <w:lvlJc w:val="left"/>
      <w:pPr>
        <w:tabs>
          <w:tab w:val="num" w:pos="3600"/>
        </w:tabs>
        <w:ind w:left="3600" w:hanging="720"/>
      </w:pPr>
      <w:rPr>
        <w:u w:val="none"/>
      </w:rPr>
    </w:lvl>
    <w:lvl w:ilvl="5" w:tplc="2AF082E4">
      <w:start w:val="1"/>
      <w:numFmt w:val="lowerLetter"/>
      <w:pStyle w:val="Heading6"/>
      <w:lvlText w:val="(%6)"/>
      <w:lvlJc w:val="left"/>
      <w:pPr>
        <w:tabs>
          <w:tab w:val="num" w:pos="4320"/>
        </w:tabs>
        <w:ind w:left="4320" w:hanging="720"/>
      </w:pPr>
      <w:rPr>
        <w:u w:val="none"/>
      </w:rPr>
    </w:lvl>
    <w:lvl w:ilvl="6" w:tplc="D8C6C936">
      <w:start w:val="1"/>
      <w:numFmt w:val="lowerRoman"/>
      <w:pStyle w:val="Heading7"/>
      <w:lvlText w:val="(%7)"/>
      <w:lvlJc w:val="left"/>
      <w:pPr>
        <w:tabs>
          <w:tab w:val="num" w:pos="5040"/>
        </w:tabs>
        <w:ind w:left="5040" w:hanging="720"/>
      </w:pPr>
      <w:rPr>
        <w:u w:val="none"/>
      </w:rPr>
    </w:lvl>
    <w:lvl w:ilvl="7" w:tplc="C664634C">
      <w:start w:val="1"/>
      <w:numFmt w:val="lowerLetter"/>
      <w:pStyle w:val="Heading8"/>
      <w:lvlText w:val="(%8)"/>
      <w:lvlJc w:val="left"/>
      <w:pPr>
        <w:tabs>
          <w:tab w:val="num" w:pos="5760"/>
        </w:tabs>
        <w:ind w:left="5760" w:hanging="720"/>
      </w:pPr>
      <w:rPr>
        <w:u w:val="none"/>
      </w:rPr>
    </w:lvl>
    <w:lvl w:ilvl="8" w:tplc="DF1A9F76">
      <w:start w:val="1"/>
      <w:numFmt w:val="lowerRoman"/>
      <w:pStyle w:val="Heading9"/>
      <w:lvlText w:val="(%9)"/>
      <w:lvlJc w:val="left"/>
      <w:pPr>
        <w:tabs>
          <w:tab w:val="num" w:pos="6480"/>
        </w:tabs>
        <w:ind w:left="6480" w:hanging="720"/>
      </w:pPr>
      <w:rPr>
        <w:u w:val="none"/>
      </w:rPr>
    </w:lvl>
  </w:abstractNum>
  <w:abstractNum w:abstractNumId="12" w15:restartNumberingAfterBreak="0">
    <w:nsid w:val="0D1D543F"/>
    <w:multiLevelType w:val="hybridMultilevel"/>
    <w:tmpl w:val="5AF02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29F0BA8"/>
    <w:multiLevelType w:val="hybridMultilevel"/>
    <w:tmpl w:val="ACD86E42"/>
    <w:lvl w:ilvl="0" w:tplc="B358A6D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BC4290"/>
    <w:multiLevelType w:val="hybridMultilevel"/>
    <w:tmpl w:val="9EF0C30E"/>
    <w:lvl w:ilvl="0" w:tplc="B358A6D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5C4702"/>
    <w:multiLevelType w:val="hybridMultilevel"/>
    <w:tmpl w:val="FFFFFFFF"/>
    <w:lvl w:ilvl="0" w:tplc="61B6E218">
      <w:start w:val="1"/>
      <w:numFmt w:val="bullet"/>
      <w:lvlText w:val="-"/>
      <w:lvlJc w:val="left"/>
      <w:pPr>
        <w:ind w:left="720" w:hanging="360"/>
      </w:pPr>
      <w:rPr>
        <w:rFonts w:ascii="&quot;Times New Roman&quot;" w:hAnsi="&quot;Times New Roman&quot;" w:hint="default"/>
      </w:rPr>
    </w:lvl>
    <w:lvl w:ilvl="1" w:tplc="6332F454">
      <w:start w:val="1"/>
      <w:numFmt w:val="bullet"/>
      <w:lvlText w:val="o"/>
      <w:lvlJc w:val="left"/>
      <w:pPr>
        <w:ind w:left="1440" w:hanging="360"/>
      </w:pPr>
      <w:rPr>
        <w:rFonts w:ascii="Courier New" w:hAnsi="Courier New" w:hint="default"/>
      </w:rPr>
    </w:lvl>
    <w:lvl w:ilvl="2" w:tplc="C5526CE2">
      <w:start w:val="1"/>
      <w:numFmt w:val="bullet"/>
      <w:lvlText w:val=""/>
      <w:lvlJc w:val="left"/>
      <w:pPr>
        <w:ind w:left="2160" w:hanging="360"/>
      </w:pPr>
      <w:rPr>
        <w:rFonts w:ascii="Wingdings" w:hAnsi="Wingdings" w:hint="default"/>
      </w:rPr>
    </w:lvl>
    <w:lvl w:ilvl="3" w:tplc="9760BA50">
      <w:start w:val="1"/>
      <w:numFmt w:val="bullet"/>
      <w:lvlText w:val=""/>
      <w:lvlJc w:val="left"/>
      <w:pPr>
        <w:ind w:left="2880" w:hanging="360"/>
      </w:pPr>
      <w:rPr>
        <w:rFonts w:ascii="Symbol" w:hAnsi="Symbol" w:hint="default"/>
      </w:rPr>
    </w:lvl>
    <w:lvl w:ilvl="4" w:tplc="2BD4BA24">
      <w:start w:val="1"/>
      <w:numFmt w:val="bullet"/>
      <w:lvlText w:val="o"/>
      <w:lvlJc w:val="left"/>
      <w:pPr>
        <w:ind w:left="3600" w:hanging="360"/>
      </w:pPr>
      <w:rPr>
        <w:rFonts w:ascii="Courier New" w:hAnsi="Courier New" w:hint="default"/>
      </w:rPr>
    </w:lvl>
    <w:lvl w:ilvl="5" w:tplc="9D683380">
      <w:start w:val="1"/>
      <w:numFmt w:val="bullet"/>
      <w:lvlText w:val=""/>
      <w:lvlJc w:val="left"/>
      <w:pPr>
        <w:ind w:left="4320" w:hanging="360"/>
      </w:pPr>
      <w:rPr>
        <w:rFonts w:ascii="Wingdings" w:hAnsi="Wingdings" w:hint="default"/>
      </w:rPr>
    </w:lvl>
    <w:lvl w:ilvl="6" w:tplc="46A2273C">
      <w:start w:val="1"/>
      <w:numFmt w:val="bullet"/>
      <w:lvlText w:val=""/>
      <w:lvlJc w:val="left"/>
      <w:pPr>
        <w:ind w:left="5040" w:hanging="360"/>
      </w:pPr>
      <w:rPr>
        <w:rFonts w:ascii="Symbol" w:hAnsi="Symbol" w:hint="default"/>
      </w:rPr>
    </w:lvl>
    <w:lvl w:ilvl="7" w:tplc="788C02F4">
      <w:start w:val="1"/>
      <w:numFmt w:val="bullet"/>
      <w:lvlText w:val="o"/>
      <w:lvlJc w:val="left"/>
      <w:pPr>
        <w:ind w:left="5760" w:hanging="360"/>
      </w:pPr>
      <w:rPr>
        <w:rFonts w:ascii="Courier New" w:hAnsi="Courier New" w:hint="default"/>
      </w:rPr>
    </w:lvl>
    <w:lvl w:ilvl="8" w:tplc="CCBCD206">
      <w:start w:val="1"/>
      <w:numFmt w:val="bullet"/>
      <w:lvlText w:val=""/>
      <w:lvlJc w:val="left"/>
      <w:pPr>
        <w:ind w:left="6480" w:hanging="360"/>
      </w:pPr>
      <w:rPr>
        <w:rFonts w:ascii="Wingdings" w:hAnsi="Wingdings" w:hint="default"/>
      </w:rPr>
    </w:lvl>
  </w:abstractNum>
  <w:abstractNum w:abstractNumId="16" w15:restartNumberingAfterBreak="0">
    <w:nsid w:val="1A24043C"/>
    <w:multiLevelType w:val="hybridMultilevel"/>
    <w:tmpl w:val="5EC40D72"/>
    <w:lvl w:ilvl="0" w:tplc="B358A6D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960B76"/>
    <w:multiLevelType w:val="hybridMultilevel"/>
    <w:tmpl w:val="DCD2F0EA"/>
    <w:lvl w:ilvl="0" w:tplc="55062CD8">
      <w:start w:val="1"/>
      <w:numFmt w:val="upperLetter"/>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482B92"/>
    <w:multiLevelType w:val="hybridMultilevel"/>
    <w:tmpl w:val="552252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0545CF"/>
    <w:multiLevelType w:val="hybridMultilevel"/>
    <w:tmpl w:val="FA1EE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321F1"/>
    <w:multiLevelType w:val="hybridMultilevel"/>
    <w:tmpl w:val="92D4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14B5E"/>
    <w:multiLevelType w:val="singleLevel"/>
    <w:tmpl w:val="3930693C"/>
    <w:lvl w:ilvl="0">
      <w:start w:val="1"/>
      <w:numFmt w:val="decimal"/>
      <w:pStyle w:val="NumberedParaSingle"/>
      <w:lvlText w:val="%1."/>
      <w:lvlJc w:val="left"/>
      <w:pPr>
        <w:tabs>
          <w:tab w:val="num" w:pos="1800"/>
        </w:tabs>
        <w:ind w:left="0" w:firstLine="1440"/>
      </w:pPr>
    </w:lvl>
  </w:abstractNum>
  <w:abstractNum w:abstractNumId="22" w15:restartNumberingAfterBreak="0">
    <w:nsid w:val="36EA5D44"/>
    <w:multiLevelType w:val="hybridMultilevel"/>
    <w:tmpl w:val="B7B42598"/>
    <w:lvl w:ilvl="0" w:tplc="9E5CB7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AD2F51"/>
    <w:multiLevelType w:val="singleLevel"/>
    <w:tmpl w:val="46E88270"/>
    <w:lvl w:ilvl="0">
      <w:start w:val="1"/>
      <w:numFmt w:val="upperLetter"/>
      <w:pStyle w:val="LetteredParagraphSingle"/>
      <w:lvlText w:val="%1."/>
      <w:lvlJc w:val="left"/>
      <w:pPr>
        <w:tabs>
          <w:tab w:val="num" w:pos="1800"/>
        </w:tabs>
        <w:ind w:left="0" w:firstLine="1440"/>
      </w:pPr>
      <w:rPr>
        <w:u w:val="none"/>
      </w:rPr>
    </w:lvl>
  </w:abstractNum>
  <w:abstractNum w:abstractNumId="24" w15:restartNumberingAfterBreak="0">
    <w:nsid w:val="3F3A5535"/>
    <w:multiLevelType w:val="hybridMultilevel"/>
    <w:tmpl w:val="1E808D5A"/>
    <w:lvl w:ilvl="0" w:tplc="ADDE98B0">
      <w:start w:val="5"/>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2354E"/>
    <w:multiLevelType w:val="hybridMultilevel"/>
    <w:tmpl w:val="5324F882"/>
    <w:lvl w:ilvl="0" w:tplc="4CE4387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6314B"/>
    <w:multiLevelType w:val="hybridMultilevel"/>
    <w:tmpl w:val="86C0F3D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73341D"/>
    <w:multiLevelType w:val="singleLevel"/>
    <w:tmpl w:val="70C21E7E"/>
    <w:lvl w:ilvl="0">
      <w:start w:val="1"/>
      <w:numFmt w:val="upperLetter"/>
      <w:pStyle w:val="LetteredParagraphDouble"/>
      <w:lvlText w:val="%1."/>
      <w:lvlJc w:val="left"/>
      <w:pPr>
        <w:tabs>
          <w:tab w:val="num" w:pos="1800"/>
        </w:tabs>
        <w:ind w:left="0" w:firstLine="1440"/>
      </w:pPr>
      <w:rPr>
        <w:u w:val="none"/>
      </w:rPr>
    </w:lvl>
  </w:abstractNum>
  <w:abstractNum w:abstractNumId="28" w15:restartNumberingAfterBreak="0">
    <w:nsid w:val="50685B11"/>
    <w:multiLevelType w:val="hybridMultilevel"/>
    <w:tmpl w:val="ADFADDC8"/>
    <w:lvl w:ilvl="0" w:tplc="6C0C6344">
      <w:start w:val="2"/>
      <w:numFmt w:val="bullet"/>
      <w:lvlText w:val=""/>
      <w:lvlJc w:val="left"/>
      <w:pPr>
        <w:ind w:left="720" w:hanging="360"/>
      </w:pPr>
      <w:rPr>
        <w:rFonts w:ascii="Wingdings" w:eastAsia="Times New Roman"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D5FEC"/>
    <w:multiLevelType w:val="hybridMultilevel"/>
    <w:tmpl w:val="476097F2"/>
    <w:lvl w:ilvl="0" w:tplc="0409000F">
      <w:start w:val="1"/>
      <w:numFmt w:val="decimal"/>
      <w:lvlText w:val="%1."/>
      <w:lvlJc w:val="left"/>
      <w:pPr>
        <w:ind w:left="720" w:hanging="360"/>
      </w:pPr>
    </w:lvl>
    <w:lvl w:ilvl="1" w:tplc="A4D8882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F0C8E"/>
    <w:multiLevelType w:val="hybridMultilevel"/>
    <w:tmpl w:val="A6B85078"/>
    <w:lvl w:ilvl="0" w:tplc="22B6ECFE">
      <w:start w:val="6"/>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6963FB"/>
    <w:multiLevelType w:val="singleLevel"/>
    <w:tmpl w:val="D3BEA87E"/>
    <w:lvl w:ilvl="0">
      <w:start w:val="1"/>
      <w:numFmt w:val="decimal"/>
      <w:pStyle w:val="ListNumber2"/>
      <w:lvlText w:val="%1."/>
      <w:lvlJc w:val="left"/>
      <w:pPr>
        <w:tabs>
          <w:tab w:val="num" w:pos="720"/>
        </w:tabs>
        <w:ind w:left="720" w:hanging="360"/>
      </w:pPr>
    </w:lvl>
  </w:abstractNum>
  <w:abstractNum w:abstractNumId="32" w15:restartNumberingAfterBreak="0">
    <w:nsid w:val="5C64335D"/>
    <w:multiLevelType w:val="hybridMultilevel"/>
    <w:tmpl w:val="F314DAE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CE483556">
      <w:start w:val="1"/>
      <w:numFmt w:val="lowerRoman"/>
      <w:lvlText w:val="(%3)"/>
      <w:lvlJc w:val="right"/>
      <w:pPr>
        <w:ind w:left="2307"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2A2B1F"/>
    <w:multiLevelType w:val="hybridMultilevel"/>
    <w:tmpl w:val="8D2E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52DC2"/>
    <w:multiLevelType w:val="hybridMultilevel"/>
    <w:tmpl w:val="83444E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334B02"/>
    <w:multiLevelType w:val="hybridMultilevel"/>
    <w:tmpl w:val="1EFC07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011854"/>
    <w:multiLevelType w:val="hybridMultilevel"/>
    <w:tmpl w:val="DA28AA44"/>
    <w:lvl w:ilvl="0" w:tplc="DAA457D4">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0704EB"/>
    <w:multiLevelType w:val="hybridMultilevel"/>
    <w:tmpl w:val="1848E5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FD4D7"/>
    <w:multiLevelType w:val="hybridMultilevel"/>
    <w:tmpl w:val="FFFFFFFF"/>
    <w:lvl w:ilvl="0" w:tplc="3CFE2D62">
      <w:start w:val="1"/>
      <w:numFmt w:val="bullet"/>
      <w:lvlText w:val="-"/>
      <w:lvlJc w:val="left"/>
      <w:pPr>
        <w:ind w:left="720" w:hanging="360"/>
      </w:pPr>
      <w:rPr>
        <w:rFonts w:ascii="&quot;Times New Roman&quot;" w:hAnsi="&quot;Times New Roman&quot;" w:hint="default"/>
      </w:rPr>
    </w:lvl>
    <w:lvl w:ilvl="1" w:tplc="5A921390">
      <w:start w:val="1"/>
      <w:numFmt w:val="bullet"/>
      <w:lvlText w:val="o"/>
      <w:lvlJc w:val="left"/>
      <w:pPr>
        <w:ind w:left="1440" w:hanging="360"/>
      </w:pPr>
      <w:rPr>
        <w:rFonts w:ascii="Courier New" w:hAnsi="Courier New" w:hint="default"/>
      </w:rPr>
    </w:lvl>
    <w:lvl w:ilvl="2" w:tplc="E6387C56">
      <w:start w:val="1"/>
      <w:numFmt w:val="bullet"/>
      <w:lvlText w:val=""/>
      <w:lvlJc w:val="left"/>
      <w:pPr>
        <w:ind w:left="2160" w:hanging="360"/>
      </w:pPr>
      <w:rPr>
        <w:rFonts w:ascii="Wingdings" w:hAnsi="Wingdings" w:hint="default"/>
      </w:rPr>
    </w:lvl>
    <w:lvl w:ilvl="3" w:tplc="666CA614">
      <w:start w:val="1"/>
      <w:numFmt w:val="bullet"/>
      <w:lvlText w:val=""/>
      <w:lvlJc w:val="left"/>
      <w:pPr>
        <w:ind w:left="2880" w:hanging="360"/>
      </w:pPr>
      <w:rPr>
        <w:rFonts w:ascii="Symbol" w:hAnsi="Symbol" w:hint="default"/>
      </w:rPr>
    </w:lvl>
    <w:lvl w:ilvl="4" w:tplc="B78E69C8">
      <w:start w:val="1"/>
      <w:numFmt w:val="bullet"/>
      <w:lvlText w:val="o"/>
      <w:lvlJc w:val="left"/>
      <w:pPr>
        <w:ind w:left="3600" w:hanging="360"/>
      </w:pPr>
      <w:rPr>
        <w:rFonts w:ascii="Courier New" w:hAnsi="Courier New" w:hint="default"/>
      </w:rPr>
    </w:lvl>
    <w:lvl w:ilvl="5" w:tplc="9A563C96">
      <w:start w:val="1"/>
      <w:numFmt w:val="bullet"/>
      <w:lvlText w:val=""/>
      <w:lvlJc w:val="left"/>
      <w:pPr>
        <w:ind w:left="4320" w:hanging="360"/>
      </w:pPr>
      <w:rPr>
        <w:rFonts w:ascii="Wingdings" w:hAnsi="Wingdings" w:hint="default"/>
      </w:rPr>
    </w:lvl>
    <w:lvl w:ilvl="6" w:tplc="D200FC3A">
      <w:start w:val="1"/>
      <w:numFmt w:val="bullet"/>
      <w:lvlText w:val=""/>
      <w:lvlJc w:val="left"/>
      <w:pPr>
        <w:ind w:left="5040" w:hanging="360"/>
      </w:pPr>
      <w:rPr>
        <w:rFonts w:ascii="Symbol" w:hAnsi="Symbol" w:hint="default"/>
      </w:rPr>
    </w:lvl>
    <w:lvl w:ilvl="7" w:tplc="D2466F70">
      <w:start w:val="1"/>
      <w:numFmt w:val="bullet"/>
      <w:lvlText w:val="o"/>
      <w:lvlJc w:val="left"/>
      <w:pPr>
        <w:ind w:left="5760" w:hanging="360"/>
      </w:pPr>
      <w:rPr>
        <w:rFonts w:ascii="Courier New" w:hAnsi="Courier New" w:hint="default"/>
      </w:rPr>
    </w:lvl>
    <w:lvl w:ilvl="8" w:tplc="B26C9002">
      <w:start w:val="1"/>
      <w:numFmt w:val="bullet"/>
      <w:lvlText w:val=""/>
      <w:lvlJc w:val="left"/>
      <w:pPr>
        <w:ind w:left="6480" w:hanging="360"/>
      </w:pPr>
      <w:rPr>
        <w:rFonts w:ascii="Wingdings" w:hAnsi="Wingdings" w:hint="default"/>
      </w:rPr>
    </w:lvl>
  </w:abstractNum>
  <w:abstractNum w:abstractNumId="39" w15:restartNumberingAfterBreak="0">
    <w:nsid w:val="78093656"/>
    <w:multiLevelType w:val="hybridMultilevel"/>
    <w:tmpl w:val="E8860FA0"/>
    <w:lvl w:ilvl="0" w:tplc="B358A6D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D7524"/>
    <w:multiLevelType w:val="hybridMultilevel"/>
    <w:tmpl w:val="FD9E517C"/>
    <w:lvl w:ilvl="0" w:tplc="B358A6D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790211">
    <w:abstractNumId w:val="38"/>
  </w:num>
  <w:num w:numId="2" w16cid:durableId="175272009">
    <w:abstractNumId w:val="15"/>
  </w:num>
  <w:num w:numId="3" w16cid:durableId="1722972262">
    <w:abstractNumId w:val="11"/>
  </w:num>
  <w:num w:numId="4" w16cid:durableId="66803482">
    <w:abstractNumId w:val="11"/>
  </w:num>
  <w:num w:numId="5" w16cid:durableId="1242569928">
    <w:abstractNumId w:val="11"/>
  </w:num>
  <w:num w:numId="6" w16cid:durableId="1599023903">
    <w:abstractNumId w:val="11"/>
  </w:num>
  <w:num w:numId="7" w16cid:durableId="762335788">
    <w:abstractNumId w:val="11"/>
  </w:num>
  <w:num w:numId="8" w16cid:durableId="1963530548">
    <w:abstractNumId w:val="11"/>
  </w:num>
  <w:num w:numId="9" w16cid:durableId="1085805730">
    <w:abstractNumId w:val="11"/>
  </w:num>
  <w:num w:numId="10" w16cid:durableId="1171485292">
    <w:abstractNumId w:val="11"/>
  </w:num>
  <w:num w:numId="11" w16cid:durableId="633173663">
    <w:abstractNumId w:val="11"/>
  </w:num>
  <w:num w:numId="12" w16cid:durableId="1498887504">
    <w:abstractNumId w:val="27"/>
  </w:num>
  <w:num w:numId="13" w16cid:durableId="1732121420">
    <w:abstractNumId w:val="23"/>
  </w:num>
  <w:num w:numId="14" w16cid:durableId="772749413">
    <w:abstractNumId w:val="7"/>
  </w:num>
  <w:num w:numId="15" w16cid:durableId="725908168">
    <w:abstractNumId w:val="6"/>
  </w:num>
  <w:num w:numId="16" w16cid:durableId="1970891299">
    <w:abstractNumId w:val="5"/>
  </w:num>
  <w:num w:numId="17" w16cid:durableId="1035421081">
    <w:abstractNumId w:val="4"/>
  </w:num>
  <w:num w:numId="18" w16cid:durableId="2103908939">
    <w:abstractNumId w:val="9"/>
  </w:num>
  <w:num w:numId="19" w16cid:durableId="2121683783">
    <w:abstractNumId w:val="31"/>
  </w:num>
  <w:num w:numId="20" w16cid:durableId="1836801338">
    <w:abstractNumId w:val="2"/>
  </w:num>
  <w:num w:numId="21" w16cid:durableId="1181822078">
    <w:abstractNumId w:val="1"/>
  </w:num>
  <w:num w:numId="22" w16cid:durableId="1094207079">
    <w:abstractNumId w:val="0"/>
  </w:num>
  <w:num w:numId="23" w16cid:durableId="1494372481">
    <w:abstractNumId w:val="8"/>
  </w:num>
  <w:num w:numId="24" w16cid:durableId="1058674148">
    <w:abstractNumId w:val="3"/>
  </w:num>
  <w:num w:numId="25" w16cid:durableId="1008213313">
    <w:abstractNumId w:val="21"/>
  </w:num>
  <w:num w:numId="26" w16cid:durableId="303045107">
    <w:abstractNumId w:val="10"/>
  </w:num>
  <w:num w:numId="27" w16cid:durableId="499809934">
    <w:abstractNumId w:val="12"/>
  </w:num>
  <w:num w:numId="28" w16cid:durableId="722947335">
    <w:abstractNumId w:val="11"/>
    <w:lvlOverride w:ilvl="0">
      <w:startOverride w:val="1"/>
    </w:lvlOverride>
  </w:num>
  <w:num w:numId="29" w16cid:durableId="498425273">
    <w:abstractNumId w:val="17"/>
  </w:num>
  <w:num w:numId="30" w16cid:durableId="2051564903">
    <w:abstractNumId w:val="34"/>
  </w:num>
  <w:num w:numId="31" w16cid:durableId="1887789456">
    <w:abstractNumId w:val="18"/>
  </w:num>
  <w:num w:numId="32" w16cid:durableId="408503969">
    <w:abstractNumId w:val="22"/>
  </w:num>
  <w:num w:numId="33" w16cid:durableId="1372729649">
    <w:abstractNumId w:val="39"/>
  </w:num>
  <w:num w:numId="34" w16cid:durableId="1442067910">
    <w:abstractNumId w:val="28"/>
  </w:num>
  <w:num w:numId="35" w16cid:durableId="769735193">
    <w:abstractNumId w:val="16"/>
  </w:num>
  <w:num w:numId="36" w16cid:durableId="1534881903">
    <w:abstractNumId w:val="13"/>
  </w:num>
  <w:num w:numId="37" w16cid:durableId="969625978">
    <w:abstractNumId w:val="40"/>
  </w:num>
  <w:num w:numId="38" w16cid:durableId="184247276">
    <w:abstractNumId w:val="14"/>
  </w:num>
  <w:num w:numId="39" w16cid:durableId="1153722223">
    <w:abstractNumId w:val="24"/>
  </w:num>
  <w:num w:numId="40" w16cid:durableId="1547567504">
    <w:abstractNumId w:val="20"/>
  </w:num>
  <w:num w:numId="41" w16cid:durableId="1176574612">
    <w:abstractNumId w:val="29"/>
  </w:num>
  <w:num w:numId="42" w16cid:durableId="1302275400">
    <w:abstractNumId w:val="37"/>
  </w:num>
  <w:num w:numId="43" w16cid:durableId="772280828">
    <w:abstractNumId w:val="25"/>
  </w:num>
  <w:num w:numId="44" w16cid:durableId="1536427588">
    <w:abstractNumId w:val="19"/>
  </w:num>
  <w:num w:numId="45" w16cid:durableId="1472748795">
    <w:abstractNumId w:val="33"/>
  </w:num>
  <w:num w:numId="46" w16cid:durableId="1161461286">
    <w:abstractNumId w:val="30"/>
  </w:num>
  <w:num w:numId="47" w16cid:durableId="1615601541">
    <w:abstractNumId w:val="36"/>
  </w:num>
  <w:num w:numId="48" w16cid:durableId="384524870">
    <w:abstractNumId w:val="35"/>
  </w:num>
  <w:num w:numId="49" w16cid:durableId="1364093354">
    <w:abstractNumId w:val="32"/>
  </w:num>
  <w:num w:numId="50" w16cid:durableId="244850621">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wN7I0MDE1tDAxNDNX0lEKTi0uzszPAykwqgUAQi8w5iwAAAA="/>
  </w:docVars>
  <w:rsids>
    <w:rsidRoot w:val="000343B0"/>
    <w:rsid w:val="00000778"/>
    <w:rsid w:val="0000145A"/>
    <w:rsid w:val="0000373D"/>
    <w:rsid w:val="0000544A"/>
    <w:rsid w:val="00005AA9"/>
    <w:rsid w:val="00006D6F"/>
    <w:rsid w:val="00010C9C"/>
    <w:rsid w:val="000148C2"/>
    <w:rsid w:val="00015717"/>
    <w:rsid w:val="00015EBB"/>
    <w:rsid w:val="00022035"/>
    <w:rsid w:val="000224B0"/>
    <w:rsid w:val="00022EEA"/>
    <w:rsid w:val="00023534"/>
    <w:rsid w:val="00024312"/>
    <w:rsid w:val="00025620"/>
    <w:rsid w:val="0003252A"/>
    <w:rsid w:val="000332A1"/>
    <w:rsid w:val="00033E91"/>
    <w:rsid w:val="000343B0"/>
    <w:rsid w:val="000348D8"/>
    <w:rsid w:val="00034BFB"/>
    <w:rsid w:val="00034EF1"/>
    <w:rsid w:val="00042AF5"/>
    <w:rsid w:val="000443A1"/>
    <w:rsid w:val="00044D5E"/>
    <w:rsid w:val="00046521"/>
    <w:rsid w:val="00051106"/>
    <w:rsid w:val="00051461"/>
    <w:rsid w:val="00052CAC"/>
    <w:rsid w:val="0005350C"/>
    <w:rsid w:val="00053D96"/>
    <w:rsid w:val="00053FDB"/>
    <w:rsid w:val="00054123"/>
    <w:rsid w:val="0005635B"/>
    <w:rsid w:val="0005673C"/>
    <w:rsid w:val="00056F78"/>
    <w:rsid w:val="000602CA"/>
    <w:rsid w:val="00061B39"/>
    <w:rsid w:val="00064162"/>
    <w:rsid w:val="00064401"/>
    <w:rsid w:val="00073D48"/>
    <w:rsid w:val="00075937"/>
    <w:rsid w:val="00076119"/>
    <w:rsid w:val="00077408"/>
    <w:rsid w:val="000800A0"/>
    <w:rsid w:val="00081F88"/>
    <w:rsid w:val="00082C78"/>
    <w:rsid w:val="000832BD"/>
    <w:rsid w:val="000841C6"/>
    <w:rsid w:val="00084DA1"/>
    <w:rsid w:val="00085C11"/>
    <w:rsid w:val="0008649C"/>
    <w:rsid w:val="000865CF"/>
    <w:rsid w:val="00086BA3"/>
    <w:rsid w:val="0009062C"/>
    <w:rsid w:val="00091316"/>
    <w:rsid w:val="000929B3"/>
    <w:rsid w:val="00092D71"/>
    <w:rsid w:val="00092FFA"/>
    <w:rsid w:val="00094ECF"/>
    <w:rsid w:val="00095D1F"/>
    <w:rsid w:val="000A0B4F"/>
    <w:rsid w:val="000A1475"/>
    <w:rsid w:val="000A1807"/>
    <w:rsid w:val="000A2964"/>
    <w:rsid w:val="000A542A"/>
    <w:rsid w:val="000A5F6A"/>
    <w:rsid w:val="000A6EFF"/>
    <w:rsid w:val="000B0896"/>
    <w:rsid w:val="000B0A04"/>
    <w:rsid w:val="000B161A"/>
    <w:rsid w:val="000B48E4"/>
    <w:rsid w:val="000B4C45"/>
    <w:rsid w:val="000B585A"/>
    <w:rsid w:val="000B79FF"/>
    <w:rsid w:val="000C15C4"/>
    <w:rsid w:val="000C37BB"/>
    <w:rsid w:val="000C5938"/>
    <w:rsid w:val="000C6847"/>
    <w:rsid w:val="000C68F8"/>
    <w:rsid w:val="000C70B3"/>
    <w:rsid w:val="000C7418"/>
    <w:rsid w:val="000C779D"/>
    <w:rsid w:val="000C7ECB"/>
    <w:rsid w:val="000D1619"/>
    <w:rsid w:val="000D168F"/>
    <w:rsid w:val="000D30CA"/>
    <w:rsid w:val="000D31CB"/>
    <w:rsid w:val="000D32C2"/>
    <w:rsid w:val="000D3E7E"/>
    <w:rsid w:val="000D582D"/>
    <w:rsid w:val="000D5EAB"/>
    <w:rsid w:val="000E12DE"/>
    <w:rsid w:val="000E19F6"/>
    <w:rsid w:val="000E2572"/>
    <w:rsid w:val="000E3296"/>
    <w:rsid w:val="000E38D9"/>
    <w:rsid w:val="000E6177"/>
    <w:rsid w:val="000E65D6"/>
    <w:rsid w:val="000F25F6"/>
    <w:rsid w:val="000F2A8E"/>
    <w:rsid w:val="000F4501"/>
    <w:rsid w:val="000F724F"/>
    <w:rsid w:val="000F7A04"/>
    <w:rsid w:val="000F7FCB"/>
    <w:rsid w:val="00100276"/>
    <w:rsid w:val="001004F6"/>
    <w:rsid w:val="00101A5E"/>
    <w:rsid w:val="00103733"/>
    <w:rsid w:val="00104814"/>
    <w:rsid w:val="0010503A"/>
    <w:rsid w:val="0010503D"/>
    <w:rsid w:val="0010665F"/>
    <w:rsid w:val="001078E1"/>
    <w:rsid w:val="00107E79"/>
    <w:rsid w:val="00110148"/>
    <w:rsid w:val="00110EF1"/>
    <w:rsid w:val="00111218"/>
    <w:rsid w:val="00115260"/>
    <w:rsid w:val="00116F68"/>
    <w:rsid w:val="00117079"/>
    <w:rsid w:val="001175EF"/>
    <w:rsid w:val="001206DC"/>
    <w:rsid w:val="00122A9D"/>
    <w:rsid w:val="001236D1"/>
    <w:rsid w:val="001274B2"/>
    <w:rsid w:val="00127F30"/>
    <w:rsid w:val="00130396"/>
    <w:rsid w:val="001309B1"/>
    <w:rsid w:val="00130ACF"/>
    <w:rsid w:val="001313F3"/>
    <w:rsid w:val="00131B45"/>
    <w:rsid w:val="00131BEB"/>
    <w:rsid w:val="00131DFA"/>
    <w:rsid w:val="00135F8A"/>
    <w:rsid w:val="0013679D"/>
    <w:rsid w:val="00140176"/>
    <w:rsid w:val="00140999"/>
    <w:rsid w:val="0014239F"/>
    <w:rsid w:val="00142AE5"/>
    <w:rsid w:val="001435FB"/>
    <w:rsid w:val="00143B5A"/>
    <w:rsid w:val="001460D6"/>
    <w:rsid w:val="0014721F"/>
    <w:rsid w:val="001507A5"/>
    <w:rsid w:val="001519C0"/>
    <w:rsid w:val="00151E67"/>
    <w:rsid w:val="00152942"/>
    <w:rsid w:val="00153A48"/>
    <w:rsid w:val="00154193"/>
    <w:rsid w:val="00156892"/>
    <w:rsid w:val="0016081A"/>
    <w:rsid w:val="00161C44"/>
    <w:rsid w:val="00163D0B"/>
    <w:rsid w:val="00164C18"/>
    <w:rsid w:val="00167537"/>
    <w:rsid w:val="00167F74"/>
    <w:rsid w:val="001703DA"/>
    <w:rsid w:val="00171818"/>
    <w:rsid w:val="00174277"/>
    <w:rsid w:val="00174E2A"/>
    <w:rsid w:val="001750A4"/>
    <w:rsid w:val="0017517C"/>
    <w:rsid w:val="001760B1"/>
    <w:rsid w:val="00176650"/>
    <w:rsid w:val="0017705E"/>
    <w:rsid w:val="001779ED"/>
    <w:rsid w:val="00177C54"/>
    <w:rsid w:val="00182C50"/>
    <w:rsid w:val="00185A2D"/>
    <w:rsid w:val="00185FF7"/>
    <w:rsid w:val="0018670F"/>
    <w:rsid w:val="00187CA3"/>
    <w:rsid w:val="00190460"/>
    <w:rsid w:val="0019098E"/>
    <w:rsid w:val="00190CC9"/>
    <w:rsid w:val="001911A6"/>
    <w:rsid w:val="0019184D"/>
    <w:rsid w:val="001924D2"/>
    <w:rsid w:val="001927A7"/>
    <w:rsid w:val="00192FE3"/>
    <w:rsid w:val="00193518"/>
    <w:rsid w:val="00194D32"/>
    <w:rsid w:val="00194D3A"/>
    <w:rsid w:val="00194FBD"/>
    <w:rsid w:val="00195278"/>
    <w:rsid w:val="001A0358"/>
    <w:rsid w:val="001A0CEB"/>
    <w:rsid w:val="001A3426"/>
    <w:rsid w:val="001A5FDC"/>
    <w:rsid w:val="001B012C"/>
    <w:rsid w:val="001B316B"/>
    <w:rsid w:val="001B3625"/>
    <w:rsid w:val="001B57D3"/>
    <w:rsid w:val="001B61F8"/>
    <w:rsid w:val="001B6C05"/>
    <w:rsid w:val="001B6F37"/>
    <w:rsid w:val="001C002D"/>
    <w:rsid w:val="001C2FEE"/>
    <w:rsid w:val="001C7964"/>
    <w:rsid w:val="001D031F"/>
    <w:rsid w:val="001D088A"/>
    <w:rsid w:val="001D3296"/>
    <w:rsid w:val="001D3998"/>
    <w:rsid w:val="001D75A0"/>
    <w:rsid w:val="001E1570"/>
    <w:rsid w:val="001E3755"/>
    <w:rsid w:val="001E4276"/>
    <w:rsid w:val="001E4D6A"/>
    <w:rsid w:val="001E5C54"/>
    <w:rsid w:val="001E630A"/>
    <w:rsid w:val="001E7925"/>
    <w:rsid w:val="001F2BC3"/>
    <w:rsid w:val="001F3BE4"/>
    <w:rsid w:val="001F431E"/>
    <w:rsid w:val="00200BC7"/>
    <w:rsid w:val="00201832"/>
    <w:rsid w:val="00202969"/>
    <w:rsid w:val="00202EB0"/>
    <w:rsid w:val="00203D5E"/>
    <w:rsid w:val="00204AD9"/>
    <w:rsid w:val="00206964"/>
    <w:rsid w:val="002072B1"/>
    <w:rsid w:val="002072E4"/>
    <w:rsid w:val="002075A5"/>
    <w:rsid w:val="00207978"/>
    <w:rsid w:val="00210328"/>
    <w:rsid w:val="00211601"/>
    <w:rsid w:val="0021192C"/>
    <w:rsid w:val="00211A0E"/>
    <w:rsid w:val="00213489"/>
    <w:rsid w:val="002150D6"/>
    <w:rsid w:val="0021562B"/>
    <w:rsid w:val="002162A1"/>
    <w:rsid w:val="00217759"/>
    <w:rsid w:val="0021784F"/>
    <w:rsid w:val="0022054B"/>
    <w:rsid w:val="00221138"/>
    <w:rsid w:val="00221AB2"/>
    <w:rsid w:val="00221E35"/>
    <w:rsid w:val="002233BB"/>
    <w:rsid w:val="0022391B"/>
    <w:rsid w:val="00224597"/>
    <w:rsid w:val="002261B6"/>
    <w:rsid w:val="002301A3"/>
    <w:rsid w:val="00230319"/>
    <w:rsid w:val="002313D8"/>
    <w:rsid w:val="0023515F"/>
    <w:rsid w:val="00240B25"/>
    <w:rsid w:val="00241F3F"/>
    <w:rsid w:val="00242D19"/>
    <w:rsid w:val="00244031"/>
    <w:rsid w:val="00244774"/>
    <w:rsid w:val="00245461"/>
    <w:rsid w:val="00251CB8"/>
    <w:rsid w:val="0025298C"/>
    <w:rsid w:val="002530EA"/>
    <w:rsid w:val="002557F4"/>
    <w:rsid w:val="002558FD"/>
    <w:rsid w:val="002566B9"/>
    <w:rsid w:val="00256756"/>
    <w:rsid w:val="002600E6"/>
    <w:rsid w:val="0026128D"/>
    <w:rsid w:val="002616FE"/>
    <w:rsid w:val="002636F6"/>
    <w:rsid w:val="0026424A"/>
    <w:rsid w:val="00266755"/>
    <w:rsid w:val="0026707E"/>
    <w:rsid w:val="00267285"/>
    <w:rsid w:val="002711F0"/>
    <w:rsid w:val="002733AA"/>
    <w:rsid w:val="00274D24"/>
    <w:rsid w:val="00274E20"/>
    <w:rsid w:val="002750EA"/>
    <w:rsid w:val="0027599A"/>
    <w:rsid w:val="002766C5"/>
    <w:rsid w:val="002772FB"/>
    <w:rsid w:val="002778B8"/>
    <w:rsid w:val="00277F1C"/>
    <w:rsid w:val="00280EAE"/>
    <w:rsid w:val="00281572"/>
    <w:rsid w:val="002831B9"/>
    <w:rsid w:val="00283335"/>
    <w:rsid w:val="00283365"/>
    <w:rsid w:val="00283482"/>
    <w:rsid w:val="00284A76"/>
    <w:rsid w:val="00285392"/>
    <w:rsid w:val="002860EF"/>
    <w:rsid w:val="0028673F"/>
    <w:rsid w:val="00286791"/>
    <w:rsid w:val="00287C85"/>
    <w:rsid w:val="00287FCC"/>
    <w:rsid w:val="002912CB"/>
    <w:rsid w:val="00293695"/>
    <w:rsid w:val="00293C96"/>
    <w:rsid w:val="0029413B"/>
    <w:rsid w:val="0029526E"/>
    <w:rsid w:val="0029629A"/>
    <w:rsid w:val="00296554"/>
    <w:rsid w:val="00296EA7"/>
    <w:rsid w:val="002A0799"/>
    <w:rsid w:val="002A0C24"/>
    <w:rsid w:val="002A1326"/>
    <w:rsid w:val="002A25FD"/>
    <w:rsid w:val="002A3BCF"/>
    <w:rsid w:val="002A4E7A"/>
    <w:rsid w:val="002A6715"/>
    <w:rsid w:val="002A6D3C"/>
    <w:rsid w:val="002A7736"/>
    <w:rsid w:val="002B10B1"/>
    <w:rsid w:val="002B2E81"/>
    <w:rsid w:val="002C4E2C"/>
    <w:rsid w:val="002C52C0"/>
    <w:rsid w:val="002C5A8E"/>
    <w:rsid w:val="002C6C38"/>
    <w:rsid w:val="002C6C9C"/>
    <w:rsid w:val="002C77EB"/>
    <w:rsid w:val="002D1057"/>
    <w:rsid w:val="002D3C19"/>
    <w:rsid w:val="002D3F82"/>
    <w:rsid w:val="002D45A1"/>
    <w:rsid w:val="002D70E6"/>
    <w:rsid w:val="002E03F3"/>
    <w:rsid w:val="002E0605"/>
    <w:rsid w:val="002E19AC"/>
    <w:rsid w:val="002E3A12"/>
    <w:rsid w:val="002E3FA7"/>
    <w:rsid w:val="002E4809"/>
    <w:rsid w:val="002E49B0"/>
    <w:rsid w:val="002E49D4"/>
    <w:rsid w:val="002E5D69"/>
    <w:rsid w:val="002E6C90"/>
    <w:rsid w:val="002E724D"/>
    <w:rsid w:val="002E7DBC"/>
    <w:rsid w:val="002F0026"/>
    <w:rsid w:val="002F1772"/>
    <w:rsid w:val="002F197C"/>
    <w:rsid w:val="002F1AA8"/>
    <w:rsid w:val="002F232F"/>
    <w:rsid w:val="002F236C"/>
    <w:rsid w:val="002F37B5"/>
    <w:rsid w:val="002F4513"/>
    <w:rsid w:val="002F643E"/>
    <w:rsid w:val="002F6CEC"/>
    <w:rsid w:val="002F73AB"/>
    <w:rsid w:val="00300234"/>
    <w:rsid w:val="003009F5"/>
    <w:rsid w:val="00304020"/>
    <w:rsid w:val="0030408E"/>
    <w:rsid w:val="003041FD"/>
    <w:rsid w:val="00304E45"/>
    <w:rsid w:val="0030568A"/>
    <w:rsid w:val="00306A52"/>
    <w:rsid w:val="0030758C"/>
    <w:rsid w:val="00310082"/>
    <w:rsid w:val="003112C3"/>
    <w:rsid w:val="00312326"/>
    <w:rsid w:val="0031377C"/>
    <w:rsid w:val="00314B9F"/>
    <w:rsid w:val="0031508F"/>
    <w:rsid w:val="0031543F"/>
    <w:rsid w:val="0031704E"/>
    <w:rsid w:val="00317896"/>
    <w:rsid w:val="00317F47"/>
    <w:rsid w:val="00320112"/>
    <w:rsid w:val="00321067"/>
    <w:rsid w:val="003210B5"/>
    <w:rsid w:val="00321D36"/>
    <w:rsid w:val="00323133"/>
    <w:rsid w:val="0032344B"/>
    <w:rsid w:val="00326786"/>
    <w:rsid w:val="003273CE"/>
    <w:rsid w:val="0033263F"/>
    <w:rsid w:val="003327C5"/>
    <w:rsid w:val="003332B3"/>
    <w:rsid w:val="003338D8"/>
    <w:rsid w:val="00333AF4"/>
    <w:rsid w:val="00335173"/>
    <w:rsid w:val="00335C26"/>
    <w:rsid w:val="00341DB4"/>
    <w:rsid w:val="0034216D"/>
    <w:rsid w:val="003422AB"/>
    <w:rsid w:val="0034277A"/>
    <w:rsid w:val="0034344E"/>
    <w:rsid w:val="00343958"/>
    <w:rsid w:val="00344060"/>
    <w:rsid w:val="0034497A"/>
    <w:rsid w:val="00345CA6"/>
    <w:rsid w:val="00345EEB"/>
    <w:rsid w:val="00350B42"/>
    <w:rsid w:val="00352670"/>
    <w:rsid w:val="00352718"/>
    <w:rsid w:val="00353207"/>
    <w:rsid w:val="003537C9"/>
    <w:rsid w:val="00354B94"/>
    <w:rsid w:val="0035662A"/>
    <w:rsid w:val="00356A67"/>
    <w:rsid w:val="00360577"/>
    <w:rsid w:val="003606A9"/>
    <w:rsid w:val="003614F3"/>
    <w:rsid w:val="00361DAB"/>
    <w:rsid w:val="003659B2"/>
    <w:rsid w:val="00365DE5"/>
    <w:rsid w:val="003661E8"/>
    <w:rsid w:val="003677FE"/>
    <w:rsid w:val="00367FC0"/>
    <w:rsid w:val="003721D1"/>
    <w:rsid w:val="00373295"/>
    <w:rsid w:val="003734EA"/>
    <w:rsid w:val="00374912"/>
    <w:rsid w:val="00375587"/>
    <w:rsid w:val="00376A56"/>
    <w:rsid w:val="00377156"/>
    <w:rsid w:val="00381FD3"/>
    <w:rsid w:val="0038422B"/>
    <w:rsid w:val="003849C7"/>
    <w:rsid w:val="0038531E"/>
    <w:rsid w:val="00390757"/>
    <w:rsid w:val="0039118A"/>
    <w:rsid w:val="00391DA1"/>
    <w:rsid w:val="0039206E"/>
    <w:rsid w:val="00392C1F"/>
    <w:rsid w:val="00394CEC"/>
    <w:rsid w:val="00395CDA"/>
    <w:rsid w:val="003A094A"/>
    <w:rsid w:val="003A145E"/>
    <w:rsid w:val="003A1983"/>
    <w:rsid w:val="003A27CA"/>
    <w:rsid w:val="003A2829"/>
    <w:rsid w:val="003A3C24"/>
    <w:rsid w:val="003A42DE"/>
    <w:rsid w:val="003A4E0E"/>
    <w:rsid w:val="003A5B4C"/>
    <w:rsid w:val="003A7D16"/>
    <w:rsid w:val="003B1F42"/>
    <w:rsid w:val="003B23E7"/>
    <w:rsid w:val="003B2EE7"/>
    <w:rsid w:val="003B5653"/>
    <w:rsid w:val="003C181A"/>
    <w:rsid w:val="003C43C3"/>
    <w:rsid w:val="003C4A74"/>
    <w:rsid w:val="003C66F8"/>
    <w:rsid w:val="003D00CA"/>
    <w:rsid w:val="003D0D28"/>
    <w:rsid w:val="003D0F77"/>
    <w:rsid w:val="003D14E7"/>
    <w:rsid w:val="003D1E98"/>
    <w:rsid w:val="003D20E6"/>
    <w:rsid w:val="003D461A"/>
    <w:rsid w:val="003D46A8"/>
    <w:rsid w:val="003D5623"/>
    <w:rsid w:val="003D6475"/>
    <w:rsid w:val="003D7A0F"/>
    <w:rsid w:val="003E056A"/>
    <w:rsid w:val="003E0A5A"/>
    <w:rsid w:val="003E0BE0"/>
    <w:rsid w:val="003E2F0A"/>
    <w:rsid w:val="003E45C5"/>
    <w:rsid w:val="003E4897"/>
    <w:rsid w:val="003E537E"/>
    <w:rsid w:val="003E76FA"/>
    <w:rsid w:val="003E7BED"/>
    <w:rsid w:val="003F013D"/>
    <w:rsid w:val="003F01F9"/>
    <w:rsid w:val="003F1933"/>
    <w:rsid w:val="003F2105"/>
    <w:rsid w:val="003F284F"/>
    <w:rsid w:val="003F2BAB"/>
    <w:rsid w:val="003F3000"/>
    <w:rsid w:val="003F3450"/>
    <w:rsid w:val="003F575C"/>
    <w:rsid w:val="003F657D"/>
    <w:rsid w:val="003F75A1"/>
    <w:rsid w:val="00400E50"/>
    <w:rsid w:val="00403120"/>
    <w:rsid w:val="0040360A"/>
    <w:rsid w:val="004049AE"/>
    <w:rsid w:val="0040532D"/>
    <w:rsid w:val="00405762"/>
    <w:rsid w:val="004067DA"/>
    <w:rsid w:val="00406936"/>
    <w:rsid w:val="00412E66"/>
    <w:rsid w:val="00413181"/>
    <w:rsid w:val="00414800"/>
    <w:rsid w:val="004159CB"/>
    <w:rsid w:val="00415B91"/>
    <w:rsid w:val="00417D2B"/>
    <w:rsid w:val="004218E4"/>
    <w:rsid w:val="0042219B"/>
    <w:rsid w:val="00423372"/>
    <w:rsid w:val="00424A01"/>
    <w:rsid w:val="00425DB2"/>
    <w:rsid w:val="00426F33"/>
    <w:rsid w:val="004302F2"/>
    <w:rsid w:val="00430C66"/>
    <w:rsid w:val="0043165F"/>
    <w:rsid w:val="004329D8"/>
    <w:rsid w:val="00432DE5"/>
    <w:rsid w:val="0043334A"/>
    <w:rsid w:val="004362DC"/>
    <w:rsid w:val="00437868"/>
    <w:rsid w:val="004379CD"/>
    <w:rsid w:val="00440158"/>
    <w:rsid w:val="004412F6"/>
    <w:rsid w:val="004426C8"/>
    <w:rsid w:val="00442FE9"/>
    <w:rsid w:val="00443415"/>
    <w:rsid w:val="0044422D"/>
    <w:rsid w:val="00444FAE"/>
    <w:rsid w:val="00445000"/>
    <w:rsid w:val="00445994"/>
    <w:rsid w:val="004473F8"/>
    <w:rsid w:val="0045005F"/>
    <w:rsid w:val="0045057D"/>
    <w:rsid w:val="0045267F"/>
    <w:rsid w:val="00453ABD"/>
    <w:rsid w:val="00453BBA"/>
    <w:rsid w:val="004546B6"/>
    <w:rsid w:val="00454D91"/>
    <w:rsid w:val="00456516"/>
    <w:rsid w:val="0045661C"/>
    <w:rsid w:val="00456760"/>
    <w:rsid w:val="00456A07"/>
    <w:rsid w:val="00456C3F"/>
    <w:rsid w:val="0045773E"/>
    <w:rsid w:val="00460E1D"/>
    <w:rsid w:val="0046275D"/>
    <w:rsid w:val="00462CB0"/>
    <w:rsid w:val="00462D8D"/>
    <w:rsid w:val="00462DBA"/>
    <w:rsid w:val="00463D85"/>
    <w:rsid w:val="00463EFD"/>
    <w:rsid w:val="0046541C"/>
    <w:rsid w:val="00466556"/>
    <w:rsid w:val="00466CAD"/>
    <w:rsid w:val="004670C8"/>
    <w:rsid w:val="00470B09"/>
    <w:rsid w:val="0047289C"/>
    <w:rsid w:val="00472C14"/>
    <w:rsid w:val="00472DC4"/>
    <w:rsid w:val="00473B02"/>
    <w:rsid w:val="00473BB6"/>
    <w:rsid w:val="00475D8E"/>
    <w:rsid w:val="00481300"/>
    <w:rsid w:val="00484111"/>
    <w:rsid w:val="0048512D"/>
    <w:rsid w:val="0048586E"/>
    <w:rsid w:val="00486AAA"/>
    <w:rsid w:val="00486FED"/>
    <w:rsid w:val="004922C0"/>
    <w:rsid w:val="00492ED7"/>
    <w:rsid w:val="00494428"/>
    <w:rsid w:val="0049569E"/>
    <w:rsid w:val="004A2ADB"/>
    <w:rsid w:val="004A2FCD"/>
    <w:rsid w:val="004A3A8D"/>
    <w:rsid w:val="004A563B"/>
    <w:rsid w:val="004A6C7E"/>
    <w:rsid w:val="004B0F3C"/>
    <w:rsid w:val="004B2C13"/>
    <w:rsid w:val="004B30F9"/>
    <w:rsid w:val="004B36CC"/>
    <w:rsid w:val="004B377F"/>
    <w:rsid w:val="004B3A56"/>
    <w:rsid w:val="004B4401"/>
    <w:rsid w:val="004B55E1"/>
    <w:rsid w:val="004B6F73"/>
    <w:rsid w:val="004B7475"/>
    <w:rsid w:val="004C0C05"/>
    <w:rsid w:val="004C1409"/>
    <w:rsid w:val="004C4F8B"/>
    <w:rsid w:val="004C531D"/>
    <w:rsid w:val="004C537E"/>
    <w:rsid w:val="004C5A87"/>
    <w:rsid w:val="004C62CE"/>
    <w:rsid w:val="004C63FB"/>
    <w:rsid w:val="004C64A5"/>
    <w:rsid w:val="004C6B9C"/>
    <w:rsid w:val="004C7442"/>
    <w:rsid w:val="004D107A"/>
    <w:rsid w:val="004D1CC8"/>
    <w:rsid w:val="004D1D80"/>
    <w:rsid w:val="004D3050"/>
    <w:rsid w:val="004D345E"/>
    <w:rsid w:val="004D40DD"/>
    <w:rsid w:val="004D6013"/>
    <w:rsid w:val="004E1923"/>
    <w:rsid w:val="004E2460"/>
    <w:rsid w:val="004E3D3E"/>
    <w:rsid w:val="004E47A1"/>
    <w:rsid w:val="004E59CC"/>
    <w:rsid w:val="004E764F"/>
    <w:rsid w:val="004E79D9"/>
    <w:rsid w:val="004F00B6"/>
    <w:rsid w:val="004F3193"/>
    <w:rsid w:val="004F330B"/>
    <w:rsid w:val="004F455D"/>
    <w:rsid w:val="004F5D48"/>
    <w:rsid w:val="005000CF"/>
    <w:rsid w:val="005002F8"/>
    <w:rsid w:val="00500E90"/>
    <w:rsid w:val="005013AA"/>
    <w:rsid w:val="00502054"/>
    <w:rsid w:val="00503903"/>
    <w:rsid w:val="0050746E"/>
    <w:rsid w:val="00507AD7"/>
    <w:rsid w:val="00511084"/>
    <w:rsid w:val="005111F9"/>
    <w:rsid w:val="005131C7"/>
    <w:rsid w:val="00513B77"/>
    <w:rsid w:val="00515311"/>
    <w:rsid w:val="00515444"/>
    <w:rsid w:val="00515766"/>
    <w:rsid w:val="0051684E"/>
    <w:rsid w:val="00516D75"/>
    <w:rsid w:val="00516F68"/>
    <w:rsid w:val="00520EB5"/>
    <w:rsid w:val="0052196F"/>
    <w:rsid w:val="005224EB"/>
    <w:rsid w:val="00522815"/>
    <w:rsid w:val="005243EF"/>
    <w:rsid w:val="00526056"/>
    <w:rsid w:val="00527737"/>
    <w:rsid w:val="00527A96"/>
    <w:rsid w:val="0053270A"/>
    <w:rsid w:val="0053295C"/>
    <w:rsid w:val="005336D1"/>
    <w:rsid w:val="0053614A"/>
    <w:rsid w:val="00541D36"/>
    <w:rsid w:val="00542ACB"/>
    <w:rsid w:val="0054329F"/>
    <w:rsid w:val="00543434"/>
    <w:rsid w:val="00546539"/>
    <w:rsid w:val="00547FA8"/>
    <w:rsid w:val="0055129D"/>
    <w:rsid w:val="00551854"/>
    <w:rsid w:val="00554143"/>
    <w:rsid w:val="00555434"/>
    <w:rsid w:val="0055635F"/>
    <w:rsid w:val="0055639D"/>
    <w:rsid w:val="0055735C"/>
    <w:rsid w:val="005612F3"/>
    <w:rsid w:val="0056237E"/>
    <w:rsid w:val="00563332"/>
    <w:rsid w:val="00563ABD"/>
    <w:rsid w:val="00563D87"/>
    <w:rsid w:val="005641B5"/>
    <w:rsid w:val="005643CE"/>
    <w:rsid w:val="0056498D"/>
    <w:rsid w:val="00566264"/>
    <w:rsid w:val="005662F9"/>
    <w:rsid w:val="00567886"/>
    <w:rsid w:val="00570291"/>
    <w:rsid w:val="00571D0C"/>
    <w:rsid w:val="00575329"/>
    <w:rsid w:val="00575A03"/>
    <w:rsid w:val="005762AE"/>
    <w:rsid w:val="00576CFB"/>
    <w:rsid w:val="00576D5D"/>
    <w:rsid w:val="00576F39"/>
    <w:rsid w:val="005770A5"/>
    <w:rsid w:val="00582022"/>
    <w:rsid w:val="00583D52"/>
    <w:rsid w:val="00585A6D"/>
    <w:rsid w:val="00586E18"/>
    <w:rsid w:val="005873A6"/>
    <w:rsid w:val="00591D7F"/>
    <w:rsid w:val="0059345C"/>
    <w:rsid w:val="00593EBD"/>
    <w:rsid w:val="0059688B"/>
    <w:rsid w:val="00596A82"/>
    <w:rsid w:val="00596DEC"/>
    <w:rsid w:val="00597649"/>
    <w:rsid w:val="005A0307"/>
    <w:rsid w:val="005A0588"/>
    <w:rsid w:val="005A086D"/>
    <w:rsid w:val="005A542B"/>
    <w:rsid w:val="005A6857"/>
    <w:rsid w:val="005A7976"/>
    <w:rsid w:val="005B2C1B"/>
    <w:rsid w:val="005B3776"/>
    <w:rsid w:val="005B5C02"/>
    <w:rsid w:val="005B6393"/>
    <w:rsid w:val="005B63FE"/>
    <w:rsid w:val="005C0A64"/>
    <w:rsid w:val="005C1629"/>
    <w:rsid w:val="005C2C0A"/>
    <w:rsid w:val="005C43F1"/>
    <w:rsid w:val="005C4682"/>
    <w:rsid w:val="005C491D"/>
    <w:rsid w:val="005C4EB1"/>
    <w:rsid w:val="005C508F"/>
    <w:rsid w:val="005C614B"/>
    <w:rsid w:val="005C6C0B"/>
    <w:rsid w:val="005C6C2C"/>
    <w:rsid w:val="005C6C3A"/>
    <w:rsid w:val="005C75F6"/>
    <w:rsid w:val="005D0108"/>
    <w:rsid w:val="005D3920"/>
    <w:rsid w:val="005D4230"/>
    <w:rsid w:val="005D4419"/>
    <w:rsid w:val="005D5F57"/>
    <w:rsid w:val="005D6C88"/>
    <w:rsid w:val="005E01DA"/>
    <w:rsid w:val="005E2576"/>
    <w:rsid w:val="005E41B8"/>
    <w:rsid w:val="005E4B17"/>
    <w:rsid w:val="005F009B"/>
    <w:rsid w:val="005F121C"/>
    <w:rsid w:val="005F134E"/>
    <w:rsid w:val="005F13E4"/>
    <w:rsid w:val="005F3164"/>
    <w:rsid w:val="005F3221"/>
    <w:rsid w:val="005F601D"/>
    <w:rsid w:val="005F6147"/>
    <w:rsid w:val="005F6C59"/>
    <w:rsid w:val="00601F99"/>
    <w:rsid w:val="006020AC"/>
    <w:rsid w:val="00604E08"/>
    <w:rsid w:val="00605F23"/>
    <w:rsid w:val="006063A0"/>
    <w:rsid w:val="00606677"/>
    <w:rsid w:val="00611B55"/>
    <w:rsid w:val="00612113"/>
    <w:rsid w:val="00615EB6"/>
    <w:rsid w:val="006171F3"/>
    <w:rsid w:val="00620B9B"/>
    <w:rsid w:val="006210F3"/>
    <w:rsid w:val="0062163F"/>
    <w:rsid w:val="00622C2C"/>
    <w:rsid w:val="00623355"/>
    <w:rsid w:val="00623ADD"/>
    <w:rsid w:val="0062594A"/>
    <w:rsid w:val="006262B7"/>
    <w:rsid w:val="00631582"/>
    <w:rsid w:val="00631653"/>
    <w:rsid w:val="00632925"/>
    <w:rsid w:val="00632D7A"/>
    <w:rsid w:val="00633801"/>
    <w:rsid w:val="00633837"/>
    <w:rsid w:val="0063391C"/>
    <w:rsid w:val="0063673C"/>
    <w:rsid w:val="0063704A"/>
    <w:rsid w:val="00640655"/>
    <w:rsid w:val="00640FD9"/>
    <w:rsid w:val="00641311"/>
    <w:rsid w:val="0064161A"/>
    <w:rsid w:val="00642D80"/>
    <w:rsid w:val="0064377E"/>
    <w:rsid w:val="00643F02"/>
    <w:rsid w:val="0064444B"/>
    <w:rsid w:val="00644733"/>
    <w:rsid w:val="006452D8"/>
    <w:rsid w:val="00645387"/>
    <w:rsid w:val="006464F6"/>
    <w:rsid w:val="0064771C"/>
    <w:rsid w:val="00650520"/>
    <w:rsid w:val="00650556"/>
    <w:rsid w:val="00650629"/>
    <w:rsid w:val="00651BF8"/>
    <w:rsid w:val="00651F39"/>
    <w:rsid w:val="006521A5"/>
    <w:rsid w:val="00653892"/>
    <w:rsid w:val="0065442A"/>
    <w:rsid w:val="0065558D"/>
    <w:rsid w:val="006571B8"/>
    <w:rsid w:val="006619C6"/>
    <w:rsid w:val="00661A6E"/>
    <w:rsid w:val="00661D22"/>
    <w:rsid w:val="006620D0"/>
    <w:rsid w:val="006621A2"/>
    <w:rsid w:val="0066375E"/>
    <w:rsid w:val="00664F81"/>
    <w:rsid w:val="0066602C"/>
    <w:rsid w:val="00667E63"/>
    <w:rsid w:val="00667FE1"/>
    <w:rsid w:val="0067160A"/>
    <w:rsid w:val="006730B5"/>
    <w:rsid w:val="00673923"/>
    <w:rsid w:val="00673AD0"/>
    <w:rsid w:val="00673B30"/>
    <w:rsid w:val="006746A8"/>
    <w:rsid w:val="00674BE2"/>
    <w:rsid w:val="00676039"/>
    <w:rsid w:val="006761E8"/>
    <w:rsid w:val="00676E7F"/>
    <w:rsid w:val="00677D0B"/>
    <w:rsid w:val="00680503"/>
    <w:rsid w:val="00683319"/>
    <w:rsid w:val="00683E58"/>
    <w:rsid w:val="00684478"/>
    <w:rsid w:val="006905FE"/>
    <w:rsid w:val="006908AF"/>
    <w:rsid w:val="0069112D"/>
    <w:rsid w:val="006922E8"/>
    <w:rsid w:val="00692835"/>
    <w:rsid w:val="006936CB"/>
    <w:rsid w:val="00693CE9"/>
    <w:rsid w:val="006956EC"/>
    <w:rsid w:val="00696AD4"/>
    <w:rsid w:val="006972A2"/>
    <w:rsid w:val="006974CE"/>
    <w:rsid w:val="006A1359"/>
    <w:rsid w:val="006A2287"/>
    <w:rsid w:val="006A2826"/>
    <w:rsid w:val="006A2ECD"/>
    <w:rsid w:val="006A37F9"/>
    <w:rsid w:val="006A3F03"/>
    <w:rsid w:val="006A5B10"/>
    <w:rsid w:val="006B12B2"/>
    <w:rsid w:val="006B29D8"/>
    <w:rsid w:val="006B463E"/>
    <w:rsid w:val="006B49AA"/>
    <w:rsid w:val="006B5F2A"/>
    <w:rsid w:val="006B6549"/>
    <w:rsid w:val="006B71F0"/>
    <w:rsid w:val="006B775C"/>
    <w:rsid w:val="006C0DCA"/>
    <w:rsid w:val="006C1442"/>
    <w:rsid w:val="006C39C6"/>
    <w:rsid w:val="006C409C"/>
    <w:rsid w:val="006C6252"/>
    <w:rsid w:val="006C6F47"/>
    <w:rsid w:val="006D0299"/>
    <w:rsid w:val="006D1A2C"/>
    <w:rsid w:val="006D3C0B"/>
    <w:rsid w:val="006D4399"/>
    <w:rsid w:val="006D4556"/>
    <w:rsid w:val="006D536F"/>
    <w:rsid w:val="006D5DEA"/>
    <w:rsid w:val="006D6148"/>
    <w:rsid w:val="006D6A9C"/>
    <w:rsid w:val="006D7111"/>
    <w:rsid w:val="006D7204"/>
    <w:rsid w:val="006D7F4C"/>
    <w:rsid w:val="006E1714"/>
    <w:rsid w:val="006E19AD"/>
    <w:rsid w:val="006E1B59"/>
    <w:rsid w:val="006E1CF5"/>
    <w:rsid w:val="006E3747"/>
    <w:rsid w:val="006E56ED"/>
    <w:rsid w:val="006E5CB9"/>
    <w:rsid w:val="006F1717"/>
    <w:rsid w:val="006F1838"/>
    <w:rsid w:val="006F28DD"/>
    <w:rsid w:val="006F308F"/>
    <w:rsid w:val="006F5369"/>
    <w:rsid w:val="006F58EA"/>
    <w:rsid w:val="006F7AFD"/>
    <w:rsid w:val="007015A7"/>
    <w:rsid w:val="00701ACB"/>
    <w:rsid w:val="00703892"/>
    <w:rsid w:val="00705888"/>
    <w:rsid w:val="00711AE0"/>
    <w:rsid w:val="00715A20"/>
    <w:rsid w:val="007175BF"/>
    <w:rsid w:val="007201A9"/>
    <w:rsid w:val="0072076A"/>
    <w:rsid w:val="00721291"/>
    <w:rsid w:val="00721AFB"/>
    <w:rsid w:val="00721C7E"/>
    <w:rsid w:val="007230D8"/>
    <w:rsid w:val="007244CB"/>
    <w:rsid w:val="00727EBA"/>
    <w:rsid w:val="007317E4"/>
    <w:rsid w:val="007336FB"/>
    <w:rsid w:val="0073498D"/>
    <w:rsid w:val="00734C5F"/>
    <w:rsid w:val="0073574E"/>
    <w:rsid w:val="00737474"/>
    <w:rsid w:val="00737B75"/>
    <w:rsid w:val="00741277"/>
    <w:rsid w:val="00743CFB"/>
    <w:rsid w:val="00747266"/>
    <w:rsid w:val="00750BE5"/>
    <w:rsid w:val="00751D48"/>
    <w:rsid w:val="00752DFC"/>
    <w:rsid w:val="00754B83"/>
    <w:rsid w:val="00754F8B"/>
    <w:rsid w:val="00755879"/>
    <w:rsid w:val="00755D98"/>
    <w:rsid w:val="007576B9"/>
    <w:rsid w:val="007576C1"/>
    <w:rsid w:val="00757C13"/>
    <w:rsid w:val="00757FFA"/>
    <w:rsid w:val="0076173F"/>
    <w:rsid w:val="007622FF"/>
    <w:rsid w:val="0076563F"/>
    <w:rsid w:val="007704DE"/>
    <w:rsid w:val="007723A8"/>
    <w:rsid w:val="00772702"/>
    <w:rsid w:val="0077381F"/>
    <w:rsid w:val="00774749"/>
    <w:rsid w:val="0077483E"/>
    <w:rsid w:val="00777FFA"/>
    <w:rsid w:val="00781CC5"/>
    <w:rsid w:val="00781F04"/>
    <w:rsid w:val="007828B4"/>
    <w:rsid w:val="00784AD5"/>
    <w:rsid w:val="00785370"/>
    <w:rsid w:val="00785EFF"/>
    <w:rsid w:val="007931BE"/>
    <w:rsid w:val="007942B9"/>
    <w:rsid w:val="007960D6"/>
    <w:rsid w:val="00796175"/>
    <w:rsid w:val="007A0831"/>
    <w:rsid w:val="007A0B6A"/>
    <w:rsid w:val="007A118D"/>
    <w:rsid w:val="007A2429"/>
    <w:rsid w:val="007A2E4D"/>
    <w:rsid w:val="007A32CD"/>
    <w:rsid w:val="007A5116"/>
    <w:rsid w:val="007A77C0"/>
    <w:rsid w:val="007B01EF"/>
    <w:rsid w:val="007B18C0"/>
    <w:rsid w:val="007B1C4B"/>
    <w:rsid w:val="007B28EE"/>
    <w:rsid w:val="007B31A9"/>
    <w:rsid w:val="007B3CD8"/>
    <w:rsid w:val="007B4550"/>
    <w:rsid w:val="007B46DA"/>
    <w:rsid w:val="007B5A75"/>
    <w:rsid w:val="007C05A6"/>
    <w:rsid w:val="007C183C"/>
    <w:rsid w:val="007C342C"/>
    <w:rsid w:val="007C4B9D"/>
    <w:rsid w:val="007C5761"/>
    <w:rsid w:val="007C68B6"/>
    <w:rsid w:val="007C6F55"/>
    <w:rsid w:val="007D0073"/>
    <w:rsid w:val="007D473B"/>
    <w:rsid w:val="007D5BF2"/>
    <w:rsid w:val="007D5D17"/>
    <w:rsid w:val="007D7C8E"/>
    <w:rsid w:val="007E22AF"/>
    <w:rsid w:val="007E3E47"/>
    <w:rsid w:val="007E4256"/>
    <w:rsid w:val="007E47BD"/>
    <w:rsid w:val="007E6923"/>
    <w:rsid w:val="007E6AE1"/>
    <w:rsid w:val="007F0CD8"/>
    <w:rsid w:val="007F3518"/>
    <w:rsid w:val="007F3EA3"/>
    <w:rsid w:val="007F4D77"/>
    <w:rsid w:val="007F523A"/>
    <w:rsid w:val="007F5B1E"/>
    <w:rsid w:val="008002B3"/>
    <w:rsid w:val="008005D8"/>
    <w:rsid w:val="00800DB9"/>
    <w:rsid w:val="00801563"/>
    <w:rsid w:val="00802C99"/>
    <w:rsid w:val="008057D3"/>
    <w:rsid w:val="00807262"/>
    <w:rsid w:val="00807F52"/>
    <w:rsid w:val="00811266"/>
    <w:rsid w:val="008118AD"/>
    <w:rsid w:val="00811BD4"/>
    <w:rsid w:val="0081229C"/>
    <w:rsid w:val="00812CC0"/>
    <w:rsid w:val="0081498F"/>
    <w:rsid w:val="00814F52"/>
    <w:rsid w:val="00816FFA"/>
    <w:rsid w:val="008170B0"/>
    <w:rsid w:val="00820013"/>
    <w:rsid w:val="00821C61"/>
    <w:rsid w:val="00821D2C"/>
    <w:rsid w:val="00823C4A"/>
    <w:rsid w:val="00824FB0"/>
    <w:rsid w:val="00826D69"/>
    <w:rsid w:val="00826FBF"/>
    <w:rsid w:val="008270C3"/>
    <w:rsid w:val="00827222"/>
    <w:rsid w:val="00830B58"/>
    <w:rsid w:val="00832310"/>
    <w:rsid w:val="00832DE4"/>
    <w:rsid w:val="008350FF"/>
    <w:rsid w:val="00835F7D"/>
    <w:rsid w:val="00837453"/>
    <w:rsid w:val="008374F7"/>
    <w:rsid w:val="0083772D"/>
    <w:rsid w:val="00837D20"/>
    <w:rsid w:val="00840571"/>
    <w:rsid w:val="0084098D"/>
    <w:rsid w:val="00845AF0"/>
    <w:rsid w:val="00847A29"/>
    <w:rsid w:val="00851877"/>
    <w:rsid w:val="008529D3"/>
    <w:rsid w:val="00852B08"/>
    <w:rsid w:val="00852E57"/>
    <w:rsid w:val="008531A0"/>
    <w:rsid w:val="00853E5A"/>
    <w:rsid w:val="00854A75"/>
    <w:rsid w:val="00854D70"/>
    <w:rsid w:val="00855BAF"/>
    <w:rsid w:val="00856DBE"/>
    <w:rsid w:val="00857DB7"/>
    <w:rsid w:val="00861063"/>
    <w:rsid w:val="0086188B"/>
    <w:rsid w:val="00864498"/>
    <w:rsid w:val="00864F96"/>
    <w:rsid w:val="0086564E"/>
    <w:rsid w:val="00866097"/>
    <w:rsid w:val="00866767"/>
    <w:rsid w:val="00866C0D"/>
    <w:rsid w:val="008701C3"/>
    <w:rsid w:val="00873461"/>
    <w:rsid w:val="008744D7"/>
    <w:rsid w:val="0087512B"/>
    <w:rsid w:val="0087588C"/>
    <w:rsid w:val="008762F8"/>
    <w:rsid w:val="00876E8D"/>
    <w:rsid w:val="00877D49"/>
    <w:rsid w:val="00880F15"/>
    <w:rsid w:val="00881B23"/>
    <w:rsid w:val="00882172"/>
    <w:rsid w:val="00882EC0"/>
    <w:rsid w:val="00883358"/>
    <w:rsid w:val="0088581E"/>
    <w:rsid w:val="00885941"/>
    <w:rsid w:val="00885B4B"/>
    <w:rsid w:val="0089244E"/>
    <w:rsid w:val="00893693"/>
    <w:rsid w:val="00894ED7"/>
    <w:rsid w:val="00895C39"/>
    <w:rsid w:val="0089641D"/>
    <w:rsid w:val="00897F77"/>
    <w:rsid w:val="008A121E"/>
    <w:rsid w:val="008A19B1"/>
    <w:rsid w:val="008A4473"/>
    <w:rsid w:val="008A5497"/>
    <w:rsid w:val="008A5CB4"/>
    <w:rsid w:val="008A630A"/>
    <w:rsid w:val="008A7708"/>
    <w:rsid w:val="008A78DB"/>
    <w:rsid w:val="008B270A"/>
    <w:rsid w:val="008B2D8F"/>
    <w:rsid w:val="008B6C77"/>
    <w:rsid w:val="008C0EE7"/>
    <w:rsid w:val="008C3287"/>
    <w:rsid w:val="008C3BB7"/>
    <w:rsid w:val="008C3DA5"/>
    <w:rsid w:val="008C4C22"/>
    <w:rsid w:val="008C539E"/>
    <w:rsid w:val="008C644F"/>
    <w:rsid w:val="008D3A2D"/>
    <w:rsid w:val="008D3B9C"/>
    <w:rsid w:val="008D4742"/>
    <w:rsid w:val="008D589C"/>
    <w:rsid w:val="008D6499"/>
    <w:rsid w:val="008D7B0A"/>
    <w:rsid w:val="008E0596"/>
    <w:rsid w:val="008E13C3"/>
    <w:rsid w:val="008E15EF"/>
    <w:rsid w:val="008E2508"/>
    <w:rsid w:val="008E3E1F"/>
    <w:rsid w:val="008E5510"/>
    <w:rsid w:val="008E76C2"/>
    <w:rsid w:val="008F05B2"/>
    <w:rsid w:val="008F1973"/>
    <w:rsid w:val="008F2B95"/>
    <w:rsid w:val="008F3C13"/>
    <w:rsid w:val="008F45F3"/>
    <w:rsid w:val="008F4EE5"/>
    <w:rsid w:val="008F6B22"/>
    <w:rsid w:val="008F7876"/>
    <w:rsid w:val="008F7CAF"/>
    <w:rsid w:val="0090103F"/>
    <w:rsid w:val="00902692"/>
    <w:rsid w:val="009026A8"/>
    <w:rsid w:val="00904B82"/>
    <w:rsid w:val="0090520B"/>
    <w:rsid w:val="00907A00"/>
    <w:rsid w:val="00907B47"/>
    <w:rsid w:val="00910D36"/>
    <w:rsid w:val="0091219B"/>
    <w:rsid w:val="009126C5"/>
    <w:rsid w:val="00912FF6"/>
    <w:rsid w:val="00914C93"/>
    <w:rsid w:val="0091676C"/>
    <w:rsid w:val="00921DFB"/>
    <w:rsid w:val="009224D8"/>
    <w:rsid w:val="00922D7B"/>
    <w:rsid w:val="00923151"/>
    <w:rsid w:val="00923CC3"/>
    <w:rsid w:val="009241BD"/>
    <w:rsid w:val="009247FC"/>
    <w:rsid w:val="0092528A"/>
    <w:rsid w:val="0092579E"/>
    <w:rsid w:val="00925B69"/>
    <w:rsid w:val="0092730B"/>
    <w:rsid w:val="0092799E"/>
    <w:rsid w:val="00933227"/>
    <w:rsid w:val="00933E4A"/>
    <w:rsid w:val="00935F2D"/>
    <w:rsid w:val="00937FC6"/>
    <w:rsid w:val="009414A2"/>
    <w:rsid w:val="00942D5E"/>
    <w:rsid w:val="009462F3"/>
    <w:rsid w:val="0094645E"/>
    <w:rsid w:val="009473F3"/>
    <w:rsid w:val="009529D7"/>
    <w:rsid w:val="009532B7"/>
    <w:rsid w:val="00954A29"/>
    <w:rsid w:val="009554DD"/>
    <w:rsid w:val="009555FD"/>
    <w:rsid w:val="00955679"/>
    <w:rsid w:val="00955D29"/>
    <w:rsid w:val="00956519"/>
    <w:rsid w:val="00957717"/>
    <w:rsid w:val="00960C06"/>
    <w:rsid w:val="009615DD"/>
    <w:rsid w:val="00963906"/>
    <w:rsid w:val="00964804"/>
    <w:rsid w:val="00964F50"/>
    <w:rsid w:val="0096709D"/>
    <w:rsid w:val="009671F2"/>
    <w:rsid w:val="009677C9"/>
    <w:rsid w:val="0097010D"/>
    <w:rsid w:val="00970571"/>
    <w:rsid w:val="0097228C"/>
    <w:rsid w:val="009737B4"/>
    <w:rsid w:val="00973E20"/>
    <w:rsid w:val="00974CC9"/>
    <w:rsid w:val="00974D36"/>
    <w:rsid w:val="0097636B"/>
    <w:rsid w:val="00980EC8"/>
    <w:rsid w:val="009810AF"/>
    <w:rsid w:val="00981DE3"/>
    <w:rsid w:val="009865E3"/>
    <w:rsid w:val="00987CE7"/>
    <w:rsid w:val="00987FB7"/>
    <w:rsid w:val="00988C9E"/>
    <w:rsid w:val="009919B4"/>
    <w:rsid w:val="00991C9C"/>
    <w:rsid w:val="00994822"/>
    <w:rsid w:val="0099614D"/>
    <w:rsid w:val="00996886"/>
    <w:rsid w:val="009A020D"/>
    <w:rsid w:val="009A119D"/>
    <w:rsid w:val="009A1C2B"/>
    <w:rsid w:val="009A1F63"/>
    <w:rsid w:val="009A2F28"/>
    <w:rsid w:val="009A5D45"/>
    <w:rsid w:val="009B0306"/>
    <w:rsid w:val="009B105C"/>
    <w:rsid w:val="009B252D"/>
    <w:rsid w:val="009B5C20"/>
    <w:rsid w:val="009C1737"/>
    <w:rsid w:val="009C1DAD"/>
    <w:rsid w:val="009C1DD8"/>
    <w:rsid w:val="009C20C7"/>
    <w:rsid w:val="009C2C51"/>
    <w:rsid w:val="009C4257"/>
    <w:rsid w:val="009C4ECF"/>
    <w:rsid w:val="009C6412"/>
    <w:rsid w:val="009C65E6"/>
    <w:rsid w:val="009C6B3E"/>
    <w:rsid w:val="009C7756"/>
    <w:rsid w:val="009C7BDC"/>
    <w:rsid w:val="009C7C69"/>
    <w:rsid w:val="009D285C"/>
    <w:rsid w:val="009D3411"/>
    <w:rsid w:val="009D3F0B"/>
    <w:rsid w:val="009D47B8"/>
    <w:rsid w:val="009D49D7"/>
    <w:rsid w:val="009D70DA"/>
    <w:rsid w:val="009E0088"/>
    <w:rsid w:val="009E0916"/>
    <w:rsid w:val="009E1A2C"/>
    <w:rsid w:val="009E303F"/>
    <w:rsid w:val="009E3E68"/>
    <w:rsid w:val="009E4042"/>
    <w:rsid w:val="009E440D"/>
    <w:rsid w:val="009E4BCE"/>
    <w:rsid w:val="009E4FD8"/>
    <w:rsid w:val="009E6AAC"/>
    <w:rsid w:val="009E6E05"/>
    <w:rsid w:val="009E75E8"/>
    <w:rsid w:val="009F12E5"/>
    <w:rsid w:val="009F2243"/>
    <w:rsid w:val="009F250C"/>
    <w:rsid w:val="009F50B2"/>
    <w:rsid w:val="009F56CB"/>
    <w:rsid w:val="009F703B"/>
    <w:rsid w:val="00A00C27"/>
    <w:rsid w:val="00A01960"/>
    <w:rsid w:val="00A045E9"/>
    <w:rsid w:val="00A064E4"/>
    <w:rsid w:val="00A111D3"/>
    <w:rsid w:val="00A11C73"/>
    <w:rsid w:val="00A129E7"/>
    <w:rsid w:val="00A14174"/>
    <w:rsid w:val="00A20A3E"/>
    <w:rsid w:val="00A21B6A"/>
    <w:rsid w:val="00A227B1"/>
    <w:rsid w:val="00A22E23"/>
    <w:rsid w:val="00A2302A"/>
    <w:rsid w:val="00A230C9"/>
    <w:rsid w:val="00A23AF7"/>
    <w:rsid w:val="00A23B4B"/>
    <w:rsid w:val="00A23C36"/>
    <w:rsid w:val="00A23F35"/>
    <w:rsid w:val="00A25B45"/>
    <w:rsid w:val="00A26166"/>
    <w:rsid w:val="00A2638A"/>
    <w:rsid w:val="00A26810"/>
    <w:rsid w:val="00A276BF"/>
    <w:rsid w:val="00A27B11"/>
    <w:rsid w:val="00A32154"/>
    <w:rsid w:val="00A3263F"/>
    <w:rsid w:val="00A32BCB"/>
    <w:rsid w:val="00A3546A"/>
    <w:rsid w:val="00A35C28"/>
    <w:rsid w:val="00A36794"/>
    <w:rsid w:val="00A369BA"/>
    <w:rsid w:val="00A37533"/>
    <w:rsid w:val="00A37696"/>
    <w:rsid w:val="00A37CBA"/>
    <w:rsid w:val="00A401EB"/>
    <w:rsid w:val="00A408AE"/>
    <w:rsid w:val="00A427E6"/>
    <w:rsid w:val="00A43597"/>
    <w:rsid w:val="00A441F4"/>
    <w:rsid w:val="00A44859"/>
    <w:rsid w:val="00A44EF2"/>
    <w:rsid w:val="00A46A95"/>
    <w:rsid w:val="00A471C6"/>
    <w:rsid w:val="00A508D2"/>
    <w:rsid w:val="00A50CF2"/>
    <w:rsid w:val="00A515D0"/>
    <w:rsid w:val="00A528BC"/>
    <w:rsid w:val="00A52EE5"/>
    <w:rsid w:val="00A54A7A"/>
    <w:rsid w:val="00A56AB5"/>
    <w:rsid w:val="00A60D96"/>
    <w:rsid w:val="00A62A90"/>
    <w:rsid w:val="00A63E31"/>
    <w:rsid w:val="00A65F39"/>
    <w:rsid w:val="00A666C1"/>
    <w:rsid w:val="00A70FC7"/>
    <w:rsid w:val="00A718E2"/>
    <w:rsid w:val="00A7295E"/>
    <w:rsid w:val="00A7364E"/>
    <w:rsid w:val="00A73DF3"/>
    <w:rsid w:val="00A754E8"/>
    <w:rsid w:val="00A75BB5"/>
    <w:rsid w:val="00A76A3C"/>
    <w:rsid w:val="00A76D3C"/>
    <w:rsid w:val="00A77A42"/>
    <w:rsid w:val="00A77FBC"/>
    <w:rsid w:val="00A81040"/>
    <w:rsid w:val="00A81CE2"/>
    <w:rsid w:val="00A8298B"/>
    <w:rsid w:val="00A84F9F"/>
    <w:rsid w:val="00A90785"/>
    <w:rsid w:val="00A90EBD"/>
    <w:rsid w:val="00A91DFE"/>
    <w:rsid w:val="00A9447C"/>
    <w:rsid w:val="00A944FB"/>
    <w:rsid w:val="00A9561D"/>
    <w:rsid w:val="00A96E76"/>
    <w:rsid w:val="00AA0A39"/>
    <w:rsid w:val="00AA11C3"/>
    <w:rsid w:val="00AA1889"/>
    <w:rsid w:val="00AA4A09"/>
    <w:rsid w:val="00AA6F51"/>
    <w:rsid w:val="00AA7137"/>
    <w:rsid w:val="00AA7859"/>
    <w:rsid w:val="00AA78DE"/>
    <w:rsid w:val="00AB22A1"/>
    <w:rsid w:val="00AB3944"/>
    <w:rsid w:val="00AB3BE2"/>
    <w:rsid w:val="00AB4B5E"/>
    <w:rsid w:val="00AB693E"/>
    <w:rsid w:val="00AB6AE6"/>
    <w:rsid w:val="00AB7957"/>
    <w:rsid w:val="00AC1B70"/>
    <w:rsid w:val="00AC4721"/>
    <w:rsid w:val="00AC473F"/>
    <w:rsid w:val="00AC5B77"/>
    <w:rsid w:val="00AC78A1"/>
    <w:rsid w:val="00AC7ADC"/>
    <w:rsid w:val="00AD08C8"/>
    <w:rsid w:val="00AD0ADE"/>
    <w:rsid w:val="00AD1C40"/>
    <w:rsid w:val="00AD1EAE"/>
    <w:rsid w:val="00AD4230"/>
    <w:rsid w:val="00AD5F03"/>
    <w:rsid w:val="00AD762F"/>
    <w:rsid w:val="00AE22A4"/>
    <w:rsid w:val="00AE2436"/>
    <w:rsid w:val="00AE3188"/>
    <w:rsid w:val="00AE4EB3"/>
    <w:rsid w:val="00AE5EAD"/>
    <w:rsid w:val="00AE76AB"/>
    <w:rsid w:val="00AE7C06"/>
    <w:rsid w:val="00AE7C0E"/>
    <w:rsid w:val="00AE7E89"/>
    <w:rsid w:val="00AF2450"/>
    <w:rsid w:val="00AF25B2"/>
    <w:rsid w:val="00AF516E"/>
    <w:rsid w:val="00AF5324"/>
    <w:rsid w:val="00AF5BF7"/>
    <w:rsid w:val="00AF6A88"/>
    <w:rsid w:val="00AF7C56"/>
    <w:rsid w:val="00AF7D9B"/>
    <w:rsid w:val="00B0091C"/>
    <w:rsid w:val="00B00BD0"/>
    <w:rsid w:val="00B0501D"/>
    <w:rsid w:val="00B0518B"/>
    <w:rsid w:val="00B05973"/>
    <w:rsid w:val="00B059A8"/>
    <w:rsid w:val="00B05D3D"/>
    <w:rsid w:val="00B0653B"/>
    <w:rsid w:val="00B0683C"/>
    <w:rsid w:val="00B06A47"/>
    <w:rsid w:val="00B07DAB"/>
    <w:rsid w:val="00B10D9A"/>
    <w:rsid w:val="00B11CE5"/>
    <w:rsid w:val="00B125F2"/>
    <w:rsid w:val="00B1508A"/>
    <w:rsid w:val="00B154AB"/>
    <w:rsid w:val="00B164F6"/>
    <w:rsid w:val="00B17C26"/>
    <w:rsid w:val="00B17D5A"/>
    <w:rsid w:val="00B21EE7"/>
    <w:rsid w:val="00B231F0"/>
    <w:rsid w:val="00B2322B"/>
    <w:rsid w:val="00B234CE"/>
    <w:rsid w:val="00B23AF3"/>
    <w:rsid w:val="00B2452F"/>
    <w:rsid w:val="00B3012E"/>
    <w:rsid w:val="00B309B6"/>
    <w:rsid w:val="00B316F6"/>
    <w:rsid w:val="00B32DBF"/>
    <w:rsid w:val="00B3363B"/>
    <w:rsid w:val="00B34874"/>
    <w:rsid w:val="00B357BC"/>
    <w:rsid w:val="00B36166"/>
    <w:rsid w:val="00B40D41"/>
    <w:rsid w:val="00B43BEC"/>
    <w:rsid w:val="00B44A33"/>
    <w:rsid w:val="00B45E6B"/>
    <w:rsid w:val="00B519A0"/>
    <w:rsid w:val="00B522FB"/>
    <w:rsid w:val="00B52886"/>
    <w:rsid w:val="00B53A06"/>
    <w:rsid w:val="00B5428B"/>
    <w:rsid w:val="00B603A8"/>
    <w:rsid w:val="00B60EBA"/>
    <w:rsid w:val="00B61FF6"/>
    <w:rsid w:val="00B641FC"/>
    <w:rsid w:val="00B6476A"/>
    <w:rsid w:val="00B65407"/>
    <w:rsid w:val="00B666F5"/>
    <w:rsid w:val="00B67179"/>
    <w:rsid w:val="00B72298"/>
    <w:rsid w:val="00B74EEA"/>
    <w:rsid w:val="00B756B5"/>
    <w:rsid w:val="00B75ACF"/>
    <w:rsid w:val="00B76D73"/>
    <w:rsid w:val="00B77F26"/>
    <w:rsid w:val="00B812E0"/>
    <w:rsid w:val="00B83AE0"/>
    <w:rsid w:val="00B84096"/>
    <w:rsid w:val="00B84760"/>
    <w:rsid w:val="00B8579F"/>
    <w:rsid w:val="00B868B6"/>
    <w:rsid w:val="00B86B08"/>
    <w:rsid w:val="00B8714E"/>
    <w:rsid w:val="00B94203"/>
    <w:rsid w:val="00B950C6"/>
    <w:rsid w:val="00B957E4"/>
    <w:rsid w:val="00B95975"/>
    <w:rsid w:val="00B95A9F"/>
    <w:rsid w:val="00B95C49"/>
    <w:rsid w:val="00B96394"/>
    <w:rsid w:val="00B96E18"/>
    <w:rsid w:val="00B971F4"/>
    <w:rsid w:val="00B9799A"/>
    <w:rsid w:val="00B97A7E"/>
    <w:rsid w:val="00BA05F9"/>
    <w:rsid w:val="00BA3800"/>
    <w:rsid w:val="00BA6210"/>
    <w:rsid w:val="00BA7257"/>
    <w:rsid w:val="00BA786D"/>
    <w:rsid w:val="00BB13F5"/>
    <w:rsid w:val="00BB5B6C"/>
    <w:rsid w:val="00BB6236"/>
    <w:rsid w:val="00BB6830"/>
    <w:rsid w:val="00BB6EE5"/>
    <w:rsid w:val="00BC0A55"/>
    <w:rsid w:val="00BC0D48"/>
    <w:rsid w:val="00BC4657"/>
    <w:rsid w:val="00BC47AA"/>
    <w:rsid w:val="00BC4A43"/>
    <w:rsid w:val="00BC5C25"/>
    <w:rsid w:val="00BC5EE9"/>
    <w:rsid w:val="00BD0B3F"/>
    <w:rsid w:val="00BD10F9"/>
    <w:rsid w:val="00BD2051"/>
    <w:rsid w:val="00BD2729"/>
    <w:rsid w:val="00BD316B"/>
    <w:rsid w:val="00BD35AC"/>
    <w:rsid w:val="00BD3A40"/>
    <w:rsid w:val="00BD5741"/>
    <w:rsid w:val="00BD6DAA"/>
    <w:rsid w:val="00BD7801"/>
    <w:rsid w:val="00BE012B"/>
    <w:rsid w:val="00BE16D9"/>
    <w:rsid w:val="00BE1C5D"/>
    <w:rsid w:val="00BE5C53"/>
    <w:rsid w:val="00BE6BF3"/>
    <w:rsid w:val="00BF0A74"/>
    <w:rsid w:val="00BF6D58"/>
    <w:rsid w:val="00C0047E"/>
    <w:rsid w:val="00C00627"/>
    <w:rsid w:val="00C010DC"/>
    <w:rsid w:val="00C02692"/>
    <w:rsid w:val="00C03B0D"/>
    <w:rsid w:val="00C0457F"/>
    <w:rsid w:val="00C066D2"/>
    <w:rsid w:val="00C100EA"/>
    <w:rsid w:val="00C10F8E"/>
    <w:rsid w:val="00C1606F"/>
    <w:rsid w:val="00C17479"/>
    <w:rsid w:val="00C1749E"/>
    <w:rsid w:val="00C21080"/>
    <w:rsid w:val="00C2197A"/>
    <w:rsid w:val="00C22606"/>
    <w:rsid w:val="00C22924"/>
    <w:rsid w:val="00C22E99"/>
    <w:rsid w:val="00C239BC"/>
    <w:rsid w:val="00C23F39"/>
    <w:rsid w:val="00C24492"/>
    <w:rsid w:val="00C247EC"/>
    <w:rsid w:val="00C24DCC"/>
    <w:rsid w:val="00C25D27"/>
    <w:rsid w:val="00C268A4"/>
    <w:rsid w:val="00C27C07"/>
    <w:rsid w:val="00C27DBF"/>
    <w:rsid w:val="00C31837"/>
    <w:rsid w:val="00C34707"/>
    <w:rsid w:val="00C3641C"/>
    <w:rsid w:val="00C3678A"/>
    <w:rsid w:val="00C37685"/>
    <w:rsid w:val="00C40490"/>
    <w:rsid w:val="00C40EDC"/>
    <w:rsid w:val="00C42B7B"/>
    <w:rsid w:val="00C42C91"/>
    <w:rsid w:val="00C42E03"/>
    <w:rsid w:val="00C47768"/>
    <w:rsid w:val="00C52232"/>
    <w:rsid w:val="00C53640"/>
    <w:rsid w:val="00C53F00"/>
    <w:rsid w:val="00C5478D"/>
    <w:rsid w:val="00C54BD0"/>
    <w:rsid w:val="00C54DB3"/>
    <w:rsid w:val="00C5504F"/>
    <w:rsid w:val="00C57311"/>
    <w:rsid w:val="00C601A6"/>
    <w:rsid w:val="00C63145"/>
    <w:rsid w:val="00C64638"/>
    <w:rsid w:val="00C65728"/>
    <w:rsid w:val="00C658D1"/>
    <w:rsid w:val="00C65D01"/>
    <w:rsid w:val="00C66CA1"/>
    <w:rsid w:val="00C7180D"/>
    <w:rsid w:val="00C72D2C"/>
    <w:rsid w:val="00C73D6D"/>
    <w:rsid w:val="00C76E69"/>
    <w:rsid w:val="00C81B01"/>
    <w:rsid w:val="00C82E61"/>
    <w:rsid w:val="00C84F53"/>
    <w:rsid w:val="00C85CC4"/>
    <w:rsid w:val="00C86CA1"/>
    <w:rsid w:val="00C87524"/>
    <w:rsid w:val="00C87BDB"/>
    <w:rsid w:val="00C90A74"/>
    <w:rsid w:val="00C9240A"/>
    <w:rsid w:val="00C934AC"/>
    <w:rsid w:val="00C9390F"/>
    <w:rsid w:val="00C93E91"/>
    <w:rsid w:val="00C96C8E"/>
    <w:rsid w:val="00C96EB2"/>
    <w:rsid w:val="00CA12D0"/>
    <w:rsid w:val="00CA3D6F"/>
    <w:rsid w:val="00CA5886"/>
    <w:rsid w:val="00CA64D5"/>
    <w:rsid w:val="00CA6FBE"/>
    <w:rsid w:val="00CA7045"/>
    <w:rsid w:val="00CA7AB9"/>
    <w:rsid w:val="00CB0992"/>
    <w:rsid w:val="00CB134C"/>
    <w:rsid w:val="00CB1BA0"/>
    <w:rsid w:val="00CB1FEB"/>
    <w:rsid w:val="00CB3386"/>
    <w:rsid w:val="00CB399D"/>
    <w:rsid w:val="00CB461C"/>
    <w:rsid w:val="00CB482C"/>
    <w:rsid w:val="00CB5F20"/>
    <w:rsid w:val="00CB70EE"/>
    <w:rsid w:val="00CB76DB"/>
    <w:rsid w:val="00CC21D2"/>
    <w:rsid w:val="00CC5541"/>
    <w:rsid w:val="00CC5C96"/>
    <w:rsid w:val="00CD0764"/>
    <w:rsid w:val="00CD0A53"/>
    <w:rsid w:val="00CD17A8"/>
    <w:rsid w:val="00CD1836"/>
    <w:rsid w:val="00CD1F77"/>
    <w:rsid w:val="00CD47C3"/>
    <w:rsid w:val="00CD5E07"/>
    <w:rsid w:val="00CD6708"/>
    <w:rsid w:val="00CD7C99"/>
    <w:rsid w:val="00CE19D7"/>
    <w:rsid w:val="00CE280B"/>
    <w:rsid w:val="00CE3F09"/>
    <w:rsid w:val="00CE4C30"/>
    <w:rsid w:val="00CE6403"/>
    <w:rsid w:val="00CE794C"/>
    <w:rsid w:val="00CF0623"/>
    <w:rsid w:val="00CF3C25"/>
    <w:rsid w:val="00CF769A"/>
    <w:rsid w:val="00D00E75"/>
    <w:rsid w:val="00D0106A"/>
    <w:rsid w:val="00D022BA"/>
    <w:rsid w:val="00D032AA"/>
    <w:rsid w:val="00D06190"/>
    <w:rsid w:val="00D07363"/>
    <w:rsid w:val="00D07391"/>
    <w:rsid w:val="00D10EE2"/>
    <w:rsid w:val="00D149D2"/>
    <w:rsid w:val="00D15EDC"/>
    <w:rsid w:val="00D17DE7"/>
    <w:rsid w:val="00D204A7"/>
    <w:rsid w:val="00D2060B"/>
    <w:rsid w:val="00D210DB"/>
    <w:rsid w:val="00D23977"/>
    <w:rsid w:val="00D239A2"/>
    <w:rsid w:val="00D243DC"/>
    <w:rsid w:val="00D249FF"/>
    <w:rsid w:val="00D24DF7"/>
    <w:rsid w:val="00D26662"/>
    <w:rsid w:val="00D26C67"/>
    <w:rsid w:val="00D27A84"/>
    <w:rsid w:val="00D31674"/>
    <w:rsid w:val="00D317CB"/>
    <w:rsid w:val="00D31F3D"/>
    <w:rsid w:val="00D32797"/>
    <w:rsid w:val="00D337C3"/>
    <w:rsid w:val="00D33BC7"/>
    <w:rsid w:val="00D35F3E"/>
    <w:rsid w:val="00D3687E"/>
    <w:rsid w:val="00D36E7C"/>
    <w:rsid w:val="00D37392"/>
    <w:rsid w:val="00D37566"/>
    <w:rsid w:val="00D427EB"/>
    <w:rsid w:val="00D42FAE"/>
    <w:rsid w:val="00D43748"/>
    <w:rsid w:val="00D441C6"/>
    <w:rsid w:val="00D4500E"/>
    <w:rsid w:val="00D471DD"/>
    <w:rsid w:val="00D47543"/>
    <w:rsid w:val="00D50DDA"/>
    <w:rsid w:val="00D51B18"/>
    <w:rsid w:val="00D52767"/>
    <w:rsid w:val="00D549F7"/>
    <w:rsid w:val="00D5555F"/>
    <w:rsid w:val="00D56E0A"/>
    <w:rsid w:val="00D60BD7"/>
    <w:rsid w:val="00D60BF7"/>
    <w:rsid w:val="00D632AC"/>
    <w:rsid w:val="00D64859"/>
    <w:rsid w:val="00D65198"/>
    <w:rsid w:val="00D704C3"/>
    <w:rsid w:val="00D7063F"/>
    <w:rsid w:val="00D70A2D"/>
    <w:rsid w:val="00D70A3D"/>
    <w:rsid w:val="00D70BE4"/>
    <w:rsid w:val="00D72247"/>
    <w:rsid w:val="00D74F61"/>
    <w:rsid w:val="00D7597A"/>
    <w:rsid w:val="00D77FA5"/>
    <w:rsid w:val="00D80F16"/>
    <w:rsid w:val="00D836AC"/>
    <w:rsid w:val="00D84350"/>
    <w:rsid w:val="00D84EF8"/>
    <w:rsid w:val="00D8615D"/>
    <w:rsid w:val="00D8663C"/>
    <w:rsid w:val="00D91AE7"/>
    <w:rsid w:val="00D922AC"/>
    <w:rsid w:val="00D92B75"/>
    <w:rsid w:val="00D93057"/>
    <w:rsid w:val="00D93D0E"/>
    <w:rsid w:val="00D946AF"/>
    <w:rsid w:val="00D94E07"/>
    <w:rsid w:val="00D97B15"/>
    <w:rsid w:val="00DA0C8B"/>
    <w:rsid w:val="00DA1DE9"/>
    <w:rsid w:val="00DA611C"/>
    <w:rsid w:val="00DB082F"/>
    <w:rsid w:val="00DB3CF3"/>
    <w:rsid w:val="00DB5A7F"/>
    <w:rsid w:val="00DB610C"/>
    <w:rsid w:val="00DB6168"/>
    <w:rsid w:val="00DB6960"/>
    <w:rsid w:val="00DC0088"/>
    <w:rsid w:val="00DC12CB"/>
    <w:rsid w:val="00DC1808"/>
    <w:rsid w:val="00DC18EA"/>
    <w:rsid w:val="00DC2302"/>
    <w:rsid w:val="00DC2462"/>
    <w:rsid w:val="00DC4DCF"/>
    <w:rsid w:val="00DC5849"/>
    <w:rsid w:val="00DC5AD8"/>
    <w:rsid w:val="00DC5EB8"/>
    <w:rsid w:val="00DC6544"/>
    <w:rsid w:val="00DC6D85"/>
    <w:rsid w:val="00DC6D86"/>
    <w:rsid w:val="00DCD03D"/>
    <w:rsid w:val="00DD056A"/>
    <w:rsid w:val="00DD0D45"/>
    <w:rsid w:val="00DD1D39"/>
    <w:rsid w:val="00DD26ED"/>
    <w:rsid w:val="00DD2904"/>
    <w:rsid w:val="00DD2D4A"/>
    <w:rsid w:val="00DD53BA"/>
    <w:rsid w:val="00DD6042"/>
    <w:rsid w:val="00DD6A7E"/>
    <w:rsid w:val="00DD72BA"/>
    <w:rsid w:val="00DD7E0F"/>
    <w:rsid w:val="00DE130A"/>
    <w:rsid w:val="00DE272F"/>
    <w:rsid w:val="00DE54AB"/>
    <w:rsid w:val="00DF18CA"/>
    <w:rsid w:val="00DF3AF2"/>
    <w:rsid w:val="00DF47FE"/>
    <w:rsid w:val="00DF4E9E"/>
    <w:rsid w:val="00DF5BAD"/>
    <w:rsid w:val="00DF6265"/>
    <w:rsid w:val="00DF6888"/>
    <w:rsid w:val="00DF7B19"/>
    <w:rsid w:val="00E0191E"/>
    <w:rsid w:val="00E030F9"/>
    <w:rsid w:val="00E0697B"/>
    <w:rsid w:val="00E07388"/>
    <w:rsid w:val="00E07C94"/>
    <w:rsid w:val="00E12BC1"/>
    <w:rsid w:val="00E14CEC"/>
    <w:rsid w:val="00E1766C"/>
    <w:rsid w:val="00E20931"/>
    <w:rsid w:val="00E20FA7"/>
    <w:rsid w:val="00E21C36"/>
    <w:rsid w:val="00E22841"/>
    <w:rsid w:val="00E26D06"/>
    <w:rsid w:val="00E31041"/>
    <w:rsid w:val="00E31342"/>
    <w:rsid w:val="00E31D3C"/>
    <w:rsid w:val="00E32BF3"/>
    <w:rsid w:val="00E330C7"/>
    <w:rsid w:val="00E3359C"/>
    <w:rsid w:val="00E33675"/>
    <w:rsid w:val="00E348A6"/>
    <w:rsid w:val="00E34B79"/>
    <w:rsid w:val="00E3593C"/>
    <w:rsid w:val="00E375E3"/>
    <w:rsid w:val="00E40860"/>
    <w:rsid w:val="00E42224"/>
    <w:rsid w:val="00E42562"/>
    <w:rsid w:val="00E42DFB"/>
    <w:rsid w:val="00E45156"/>
    <w:rsid w:val="00E46815"/>
    <w:rsid w:val="00E46830"/>
    <w:rsid w:val="00E47DC4"/>
    <w:rsid w:val="00E50938"/>
    <w:rsid w:val="00E5209B"/>
    <w:rsid w:val="00E52A20"/>
    <w:rsid w:val="00E52DDE"/>
    <w:rsid w:val="00E52F74"/>
    <w:rsid w:val="00E547CC"/>
    <w:rsid w:val="00E54E41"/>
    <w:rsid w:val="00E57305"/>
    <w:rsid w:val="00E575C0"/>
    <w:rsid w:val="00E57ECA"/>
    <w:rsid w:val="00E60024"/>
    <w:rsid w:val="00E6121C"/>
    <w:rsid w:val="00E61D17"/>
    <w:rsid w:val="00E678ED"/>
    <w:rsid w:val="00E712DB"/>
    <w:rsid w:val="00E73A41"/>
    <w:rsid w:val="00E77C44"/>
    <w:rsid w:val="00E77CB9"/>
    <w:rsid w:val="00E834BE"/>
    <w:rsid w:val="00E83DED"/>
    <w:rsid w:val="00E8419F"/>
    <w:rsid w:val="00E85F17"/>
    <w:rsid w:val="00E86C9F"/>
    <w:rsid w:val="00E93196"/>
    <w:rsid w:val="00E951A0"/>
    <w:rsid w:val="00E957E8"/>
    <w:rsid w:val="00E971E9"/>
    <w:rsid w:val="00EA0FCA"/>
    <w:rsid w:val="00EA24A3"/>
    <w:rsid w:val="00EA34B5"/>
    <w:rsid w:val="00EA38A3"/>
    <w:rsid w:val="00EA3C32"/>
    <w:rsid w:val="00EA4E6E"/>
    <w:rsid w:val="00EA56EC"/>
    <w:rsid w:val="00EA5F30"/>
    <w:rsid w:val="00EA604E"/>
    <w:rsid w:val="00EA6C1B"/>
    <w:rsid w:val="00EB469E"/>
    <w:rsid w:val="00EC08B4"/>
    <w:rsid w:val="00EC0939"/>
    <w:rsid w:val="00EC1B3B"/>
    <w:rsid w:val="00EC29EC"/>
    <w:rsid w:val="00EC2B7F"/>
    <w:rsid w:val="00EC2D3B"/>
    <w:rsid w:val="00EC5E6E"/>
    <w:rsid w:val="00EC71F6"/>
    <w:rsid w:val="00ED2C1A"/>
    <w:rsid w:val="00ED4CC0"/>
    <w:rsid w:val="00ED5C86"/>
    <w:rsid w:val="00ED6250"/>
    <w:rsid w:val="00ED66B6"/>
    <w:rsid w:val="00ED739A"/>
    <w:rsid w:val="00ED7891"/>
    <w:rsid w:val="00EE00FB"/>
    <w:rsid w:val="00EE1289"/>
    <w:rsid w:val="00EE3ABC"/>
    <w:rsid w:val="00EE46F8"/>
    <w:rsid w:val="00EE4FE7"/>
    <w:rsid w:val="00EE5612"/>
    <w:rsid w:val="00EE64C7"/>
    <w:rsid w:val="00EF17BE"/>
    <w:rsid w:val="00EF1C5E"/>
    <w:rsid w:val="00EF2996"/>
    <w:rsid w:val="00EF4BB9"/>
    <w:rsid w:val="00EF4BF4"/>
    <w:rsid w:val="00EF56E6"/>
    <w:rsid w:val="00EF6A04"/>
    <w:rsid w:val="00EF6D1B"/>
    <w:rsid w:val="00EF7939"/>
    <w:rsid w:val="00F00C7B"/>
    <w:rsid w:val="00F00ED6"/>
    <w:rsid w:val="00F01047"/>
    <w:rsid w:val="00F01789"/>
    <w:rsid w:val="00F01E2B"/>
    <w:rsid w:val="00F02D1B"/>
    <w:rsid w:val="00F02FA5"/>
    <w:rsid w:val="00F03431"/>
    <w:rsid w:val="00F03D5F"/>
    <w:rsid w:val="00F050CD"/>
    <w:rsid w:val="00F051B8"/>
    <w:rsid w:val="00F06B25"/>
    <w:rsid w:val="00F06CC8"/>
    <w:rsid w:val="00F0706E"/>
    <w:rsid w:val="00F0708C"/>
    <w:rsid w:val="00F10A1F"/>
    <w:rsid w:val="00F1136B"/>
    <w:rsid w:val="00F115F1"/>
    <w:rsid w:val="00F11D11"/>
    <w:rsid w:val="00F12195"/>
    <w:rsid w:val="00F12369"/>
    <w:rsid w:val="00F12F5C"/>
    <w:rsid w:val="00F13714"/>
    <w:rsid w:val="00F13959"/>
    <w:rsid w:val="00F150A1"/>
    <w:rsid w:val="00F158CD"/>
    <w:rsid w:val="00F15EC3"/>
    <w:rsid w:val="00F20136"/>
    <w:rsid w:val="00F21FC3"/>
    <w:rsid w:val="00F2369A"/>
    <w:rsid w:val="00F25894"/>
    <w:rsid w:val="00F25B06"/>
    <w:rsid w:val="00F2604C"/>
    <w:rsid w:val="00F26C39"/>
    <w:rsid w:val="00F31F3F"/>
    <w:rsid w:val="00F32194"/>
    <w:rsid w:val="00F3377C"/>
    <w:rsid w:val="00F33B8A"/>
    <w:rsid w:val="00F36DB1"/>
    <w:rsid w:val="00F375DD"/>
    <w:rsid w:val="00F375E0"/>
    <w:rsid w:val="00F41BCE"/>
    <w:rsid w:val="00F424EA"/>
    <w:rsid w:val="00F42F04"/>
    <w:rsid w:val="00F4468B"/>
    <w:rsid w:val="00F4645D"/>
    <w:rsid w:val="00F46D98"/>
    <w:rsid w:val="00F47A5C"/>
    <w:rsid w:val="00F50CDB"/>
    <w:rsid w:val="00F51619"/>
    <w:rsid w:val="00F541A0"/>
    <w:rsid w:val="00F54A8B"/>
    <w:rsid w:val="00F5732B"/>
    <w:rsid w:val="00F573C3"/>
    <w:rsid w:val="00F57F20"/>
    <w:rsid w:val="00F638B2"/>
    <w:rsid w:val="00F65279"/>
    <w:rsid w:val="00F65DF6"/>
    <w:rsid w:val="00F663D8"/>
    <w:rsid w:val="00F66A93"/>
    <w:rsid w:val="00F6718F"/>
    <w:rsid w:val="00F71AC7"/>
    <w:rsid w:val="00F71CFF"/>
    <w:rsid w:val="00F72795"/>
    <w:rsid w:val="00F731CD"/>
    <w:rsid w:val="00F73812"/>
    <w:rsid w:val="00F75217"/>
    <w:rsid w:val="00F764BF"/>
    <w:rsid w:val="00F80AAE"/>
    <w:rsid w:val="00F82260"/>
    <w:rsid w:val="00F8320E"/>
    <w:rsid w:val="00F858F9"/>
    <w:rsid w:val="00F87EFD"/>
    <w:rsid w:val="00F909A6"/>
    <w:rsid w:val="00F939E9"/>
    <w:rsid w:val="00F95DD9"/>
    <w:rsid w:val="00FA0D00"/>
    <w:rsid w:val="00FA114B"/>
    <w:rsid w:val="00FA3251"/>
    <w:rsid w:val="00FA3464"/>
    <w:rsid w:val="00FA4385"/>
    <w:rsid w:val="00FA45FF"/>
    <w:rsid w:val="00FA68CA"/>
    <w:rsid w:val="00FA6E31"/>
    <w:rsid w:val="00FB0205"/>
    <w:rsid w:val="00FB0CCC"/>
    <w:rsid w:val="00FB2A83"/>
    <w:rsid w:val="00FB2D34"/>
    <w:rsid w:val="00FB3A30"/>
    <w:rsid w:val="00FB42B5"/>
    <w:rsid w:val="00FB5D58"/>
    <w:rsid w:val="00FB6394"/>
    <w:rsid w:val="00FB76FD"/>
    <w:rsid w:val="00FB778C"/>
    <w:rsid w:val="00FB7898"/>
    <w:rsid w:val="00FB7BDC"/>
    <w:rsid w:val="00FC2050"/>
    <w:rsid w:val="00FC2423"/>
    <w:rsid w:val="00FC26EA"/>
    <w:rsid w:val="00FC2DDF"/>
    <w:rsid w:val="00FC3AAF"/>
    <w:rsid w:val="00FC577E"/>
    <w:rsid w:val="00FC6929"/>
    <w:rsid w:val="00FC6DB1"/>
    <w:rsid w:val="00FC70DF"/>
    <w:rsid w:val="00FC755E"/>
    <w:rsid w:val="00FD21B2"/>
    <w:rsid w:val="00FD3C14"/>
    <w:rsid w:val="00FD56C9"/>
    <w:rsid w:val="00FD7089"/>
    <w:rsid w:val="00FE16B2"/>
    <w:rsid w:val="00FE2EB5"/>
    <w:rsid w:val="00FE46B5"/>
    <w:rsid w:val="00FE5238"/>
    <w:rsid w:val="00FF0797"/>
    <w:rsid w:val="00FF317F"/>
    <w:rsid w:val="00FF3488"/>
    <w:rsid w:val="00FF6270"/>
    <w:rsid w:val="00FF793D"/>
    <w:rsid w:val="01529204"/>
    <w:rsid w:val="01753EE8"/>
    <w:rsid w:val="01FBCACD"/>
    <w:rsid w:val="024D7059"/>
    <w:rsid w:val="02FEAB47"/>
    <w:rsid w:val="03356247"/>
    <w:rsid w:val="0347334F"/>
    <w:rsid w:val="036D9618"/>
    <w:rsid w:val="0387A8AE"/>
    <w:rsid w:val="03F46D73"/>
    <w:rsid w:val="0414D0ED"/>
    <w:rsid w:val="042069B8"/>
    <w:rsid w:val="0471084F"/>
    <w:rsid w:val="049504FE"/>
    <w:rsid w:val="04ACDFAA"/>
    <w:rsid w:val="053AD15F"/>
    <w:rsid w:val="05568DBE"/>
    <w:rsid w:val="057F52CA"/>
    <w:rsid w:val="0585111B"/>
    <w:rsid w:val="05F3488E"/>
    <w:rsid w:val="062899B9"/>
    <w:rsid w:val="06350C0F"/>
    <w:rsid w:val="0648B00B"/>
    <w:rsid w:val="065B4EBE"/>
    <w:rsid w:val="0668DA41"/>
    <w:rsid w:val="06874151"/>
    <w:rsid w:val="06DF3EC3"/>
    <w:rsid w:val="06F56918"/>
    <w:rsid w:val="074CB795"/>
    <w:rsid w:val="07EB849A"/>
    <w:rsid w:val="08640DC5"/>
    <w:rsid w:val="086B1681"/>
    <w:rsid w:val="08860430"/>
    <w:rsid w:val="0895718D"/>
    <w:rsid w:val="08E0D36E"/>
    <w:rsid w:val="08FA6175"/>
    <w:rsid w:val="09157E98"/>
    <w:rsid w:val="09229C70"/>
    <w:rsid w:val="096541AB"/>
    <w:rsid w:val="0993CEC7"/>
    <w:rsid w:val="099615D8"/>
    <w:rsid w:val="0A7B6751"/>
    <w:rsid w:val="0A9CAEE4"/>
    <w:rsid w:val="0AD87F4B"/>
    <w:rsid w:val="0AEAF7E2"/>
    <w:rsid w:val="0B186CFE"/>
    <w:rsid w:val="0B94F2F1"/>
    <w:rsid w:val="0BBDA4F2"/>
    <w:rsid w:val="0BC78C8A"/>
    <w:rsid w:val="0BCD124F"/>
    <w:rsid w:val="0C2028B8"/>
    <w:rsid w:val="0C2280D5"/>
    <w:rsid w:val="0C8F7B54"/>
    <w:rsid w:val="0CA52950"/>
    <w:rsid w:val="0CA9643A"/>
    <w:rsid w:val="0CB7F18F"/>
    <w:rsid w:val="0CE98903"/>
    <w:rsid w:val="0D121F64"/>
    <w:rsid w:val="0D129014"/>
    <w:rsid w:val="0D1AD490"/>
    <w:rsid w:val="0D68E2B0"/>
    <w:rsid w:val="0D8E11CC"/>
    <w:rsid w:val="0DB73715"/>
    <w:rsid w:val="0DBBF919"/>
    <w:rsid w:val="0DBF2B9F"/>
    <w:rsid w:val="0DD1B4E3"/>
    <w:rsid w:val="0E1A7691"/>
    <w:rsid w:val="0E67BD5E"/>
    <w:rsid w:val="0E720DBD"/>
    <w:rsid w:val="0EC157C6"/>
    <w:rsid w:val="0ED2AD82"/>
    <w:rsid w:val="0F32E74E"/>
    <w:rsid w:val="0F424E2A"/>
    <w:rsid w:val="0F448F59"/>
    <w:rsid w:val="0F810277"/>
    <w:rsid w:val="0F86FF1D"/>
    <w:rsid w:val="0F88E17F"/>
    <w:rsid w:val="0FA0B4F1"/>
    <w:rsid w:val="0FA33CD7"/>
    <w:rsid w:val="0FE45F22"/>
    <w:rsid w:val="0FF0D469"/>
    <w:rsid w:val="1049C026"/>
    <w:rsid w:val="106E7DE3"/>
    <w:rsid w:val="107747D1"/>
    <w:rsid w:val="10AEC545"/>
    <w:rsid w:val="10BC6875"/>
    <w:rsid w:val="10DA95F3"/>
    <w:rsid w:val="10EB2EBA"/>
    <w:rsid w:val="10F2E521"/>
    <w:rsid w:val="110955A5"/>
    <w:rsid w:val="1116153D"/>
    <w:rsid w:val="113761DA"/>
    <w:rsid w:val="11EC6278"/>
    <w:rsid w:val="1227A6FB"/>
    <w:rsid w:val="125101F6"/>
    <w:rsid w:val="12BC80A0"/>
    <w:rsid w:val="12D6D74E"/>
    <w:rsid w:val="12DEBF39"/>
    <w:rsid w:val="1328DAE1"/>
    <w:rsid w:val="133800C6"/>
    <w:rsid w:val="133E2EB9"/>
    <w:rsid w:val="134E6DB7"/>
    <w:rsid w:val="13501F67"/>
    <w:rsid w:val="135525B0"/>
    <w:rsid w:val="13A39EC1"/>
    <w:rsid w:val="13D0A45D"/>
    <w:rsid w:val="13ECD257"/>
    <w:rsid w:val="13FFC11E"/>
    <w:rsid w:val="14270A70"/>
    <w:rsid w:val="1429E722"/>
    <w:rsid w:val="1445C416"/>
    <w:rsid w:val="144DB5FF"/>
    <w:rsid w:val="145E078F"/>
    <w:rsid w:val="14CBE727"/>
    <w:rsid w:val="14E29E43"/>
    <w:rsid w:val="156C070F"/>
    <w:rsid w:val="1599D5F8"/>
    <w:rsid w:val="15AFF45E"/>
    <w:rsid w:val="15DB2B7E"/>
    <w:rsid w:val="15E98660"/>
    <w:rsid w:val="15F81BEA"/>
    <w:rsid w:val="160E7810"/>
    <w:rsid w:val="165EA0C4"/>
    <w:rsid w:val="1708451F"/>
    <w:rsid w:val="1779657E"/>
    <w:rsid w:val="177DA81B"/>
    <w:rsid w:val="178F5647"/>
    <w:rsid w:val="17A952E7"/>
    <w:rsid w:val="17AA4871"/>
    <w:rsid w:val="17E0076B"/>
    <w:rsid w:val="17F1049E"/>
    <w:rsid w:val="17FA8267"/>
    <w:rsid w:val="180291BC"/>
    <w:rsid w:val="18726EA8"/>
    <w:rsid w:val="18BCD83B"/>
    <w:rsid w:val="18F65E61"/>
    <w:rsid w:val="191D5C3C"/>
    <w:rsid w:val="197A9794"/>
    <w:rsid w:val="19AAC83C"/>
    <w:rsid w:val="19F0514F"/>
    <w:rsid w:val="1A11A183"/>
    <w:rsid w:val="1A1973A5"/>
    <w:rsid w:val="1A4765B8"/>
    <w:rsid w:val="1AA5894E"/>
    <w:rsid w:val="1AE7A359"/>
    <w:rsid w:val="1B2BB1B3"/>
    <w:rsid w:val="1B2CA53F"/>
    <w:rsid w:val="1B333B25"/>
    <w:rsid w:val="1B946053"/>
    <w:rsid w:val="1BAD71E4"/>
    <w:rsid w:val="1BB8F302"/>
    <w:rsid w:val="1C136AA6"/>
    <w:rsid w:val="1C42545F"/>
    <w:rsid w:val="1CE510FF"/>
    <w:rsid w:val="1D61C339"/>
    <w:rsid w:val="1D8039B4"/>
    <w:rsid w:val="1E59F894"/>
    <w:rsid w:val="1E675506"/>
    <w:rsid w:val="1E9E576C"/>
    <w:rsid w:val="1EA400A5"/>
    <w:rsid w:val="1FBA5725"/>
    <w:rsid w:val="207C76AE"/>
    <w:rsid w:val="2084AE42"/>
    <w:rsid w:val="20A50663"/>
    <w:rsid w:val="20B7DA76"/>
    <w:rsid w:val="20DCBB96"/>
    <w:rsid w:val="2180DEFE"/>
    <w:rsid w:val="21BDA7DC"/>
    <w:rsid w:val="21C16A14"/>
    <w:rsid w:val="21E4583B"/>
    <w:rsid w:val="224E157F"/>
    <w:rsid w:val="22BAB258"/>
    <w:rsid w:val="2301E241"/>
    <w:rsid w:val="2301E245"/>
    <w:rsid w:val="231CA214"/>
    <w:rsid w:val="23454463"/>
    <w:rsid w:val="237131B6"/>
    <w:rsid w:val="2374C59D"/>
    <w:rsid w:val="239F7238"/>
    <w:rsid w:val="23AA2D5E"/>
    <w:rsid w:val="24097331"/>
    <w:rsid w:val="248D1C5D"/>
    <w:rsid w:val="24BE3BEB"/>
    <w:rsid w:val="24DEB0F2"/>
    <w:rsid w:val="25348E47"/>
    <w:rsid w:val="25462827"/>
    <w:rsid w:val="25D32F71"/>
    <w:rsid w:val="25F2531A"/>
    <w:rsid w:val="262CE031"/>
    <w:rsid w:val="262E07C5"/>
    <w:rsid w:val="269D2A34"/>
    <w:rsid w:val="26AEFA4C"/>
    <w:rsid w:val="26CBEEC1"/>
    <w:rsid w:val="2702688F"/>
    <w:rsid w:val="271CAD75"/>
    <w:rsid w:val="2748331C"/>
    <w:rsid w:val="2758CB82"/>
    <w:rsid w:val="27C9D826"/>
    <w:rsid w:val="28008356"/>
    <w:rsid w:val="280D2FEB"/>
    <w:rsid w:val="28554283"/>
    <w:rsid w:val="28E65ED5"/>
    <w:rsid w:val="293D4E5C"/>
    <w:rsid w:val="2946EC3A"/>
    <w:rsid w:val="2957BBA7"/>
    <w:rsid w:val="298D80C0"/>
    <w:rsid w:val="29A1C9D9"/>
    <w:rsid w:val="2A78B4B5"/>
    <w:rsid w:val="2ADA763F"/>
    <w:rsid w:val="2B201C92"/>
    <w:rsid w:val="2B30A441"/>
    <w:rsid w:val="2B3D9A3A"/>
    <w:rsid w:val="2B44D0AD"/>
    <w:rsid w:val="2BAE7CED"/>
    <w:rsid w:val="2BDD471A"/>
    <w:rsid w:val="2BEC4CC4"/>
    <w:rsid w:val="2BFB367B"/>
    <w:rsid w:val="2C2C6F0F"/>
    <w:rsid w:val="2C5D1E43"/>
    <w:rsid w:val="2C6F79AE"/>
    <w:rsid w:val="2D0D06A3"/>
    <w:rsid w:val="2D0D6619"/>
    <w:rsid w:val="2D4A9143"/>
    <w:rsid w:val="2D4E2E99"/>
    <w:rsid w:val="2E121701"/>
    <w:rsid w:val="2E1A5D5D"/>
    <w:rsid w:val="2E369E2B"/>
    <w:rsid w:val="2E412CFE"/>
    <w:rsid w:val="2E51F3C1"/>
    <w:rsid w:val="2E56B943"/>
    <w:rsid w:val="2E7E0666"/>
    <w:rsid w:val="2E9EF2B0"/>
    <w:rsid w:val="2F8E69F2"/>
    <w:rsid w:val="2F94BF05"/>
    <w:rsid w:val="30684FBC"/>
    <w:rsid w:val="30D5EBC6"/>
    <w:rsid w:val="30F6567B"/>
    <w:rsid w:val="31463D06"/>
    <w:rsid w:val="31505133"/>
    <w:rsid w:val="317BAFAD"/>
    <w:rsid w:val="32466360"/>
    <w:rsid w:val="32DEBB32"/>
    <w:rsid w:val="32F0E6F1"/>
    <w:rsid w:val="3303FAC2"/>
    <w:rsid w:val="3310CBC7"/>
    <w:rsid w:val="3362551A"/>
    <w:rsid w:val="338C4CA0"/>
    <w:rsid w:val="3393AA91"/>
    <w:rsid w:val="33ACCB1E"/>
    <w:rsid w:val="33E668B6"/>
    <w:rsid w:val="34683028"/>
    <w:rsid w:val="347A8B93"/>
    <w:rsid w:val="34C3F478"/>
    <w:rsid w:val="34D5B0AF"/>
    <w:rsid w:val="34E120AB"/>
    <w:rsid w:val="35536574"/>
    <w:rsid w:val="355BA6AB"/>
    <w:rsid w:val="3560617C"/>
    <w:rsid w:val="3573D26F"/>
    <w:rsid w:val="35AFA2A7"/>
    <w:rsid w:val="367AD6BF"/>
    <w:rsid w:val="36856C7D"/>
    <w:rsid w:val="372FF822"/>
    <w:rsid w:val="37452D4A"/>
    <w:rsid w:val="378A4718"/>
    <w:rsid w:val="378E75AB"/>
    <w:rsid w:val="379DEBF3"/>
    <w:rsid w:val="37A9E28D"/>
    <w:rsid w:val="37B22C55"/>
    <w:rsid w:val="37FA667F"/>
    <w:rsid w:val="3809739F"/>
    <w:rsid w:val="380F2749"/>
    <w:rsid w:val="3836A019"/>
    <w:rsid w:val="383DC8AF"/>
    <w:rsid w:val="387B894C"/>
    <w:rsid w:val="38A5D49F"/>
    <w:rsid w:val="38C22AF0"/>
    <w:rsid w:val="394D30CD"/>
    <w:rsid w:val="39A5EBFB"/>
    <w:rsid w:val="39C4BE93"/>
    <w:rsid w:val="3A25D1FD"/>
    <w:rsid w:val="3B10FE9E"/>
    <w:rsid w:val="3B46C80B"/>
    <w:rsid w:val="3B93ACC4"/>
    <w:rsid w:val="3BA1C758"/>
    <w:rsid w:val="3C086117"/>
    <w:rsid w:val="3C189E6D"/>
    <w:rsid w:val="3C1E3BCF"/>
    <w:rsid w:val="3C2939FC"/>
    <w:rsid w:val="3C504D22"/>
    <w:rsid w:val="3CE053BA"/>
    <w:rsid w:val="3CEB4B7D"/>
    <w:rsid w:val="3D133645"/>
    <w:rsid w:val="3D5AD7FC"/>
    <w:rsid w:val="3D862AE1"/>
    <w:rsid w:val="3E9FABD7"/>
    <w:rsid w:val="3EA113D7"/>
    <w:rsid w:val="3ED41360"/>
    <w:rsid w:val="3F0743C2"/>
    <w:rsid w:val="3F125735"/>
    <w:rsid w:val="3F3E4F09"/>
    <w:rsid w:val="3F4AF7C1"/>
    <w:rsid w:val="3F5BB2A5"/>
    <w:rsid w:val="3FE64B40"/>
    <w:rsid w:val="403CE438"/>
    <w:rsid w:val="4060620D"/>
    <w:rsid w:val="40A31423"/>
    <w:rsid w:val="40A5F5F1"/>
    <w:rsid w:val="41558B43"/>
    <w:rsid w:val="418F2A1F"/>
    <w:rsid w:val="41A39078"/>
    <w:rsid w:val="41CD333D"/>
    <w:rsid w:val="41F01C79"/>
    <w:rsid w:val="42166FF1"/>
    <w:rsid w:val="425D5872"/>
    <w:rsid w:val="42972DCF"/>
    <w:rsid w:val="4347A2FB"/>
    <w:rsid w:val="4366BD6F"/>
    <w:rsid w:val="4390F1BC"/>
    <w:rsid w:val="4394F3D3"/>
    <w:rsid w:val="43A05F5D"/>
    <w:rsid w:val="4469C309"/>
    <w:rsid w:val="44C8B0E6"/>
    <w:rsid w:val="44E4230E"/>
    <w:rsid w:val="4578ED99"/>
    <w:rsid w:val="459AA460"/>
    <w:rsid w:val="462B2183"/>
    <w:rsid w:val="4689073B"/>
    <w:rsid w:val="468F7DCF"/>
    <w:rsid w:val="469FBB78"/>
    <w:rsid w:val="46BA28DD"/>
    <w:rsid w:val="470ECAA9"/>
    <w:rsid w:val="4718EFEA"/>
    <w:rsid w:val="4794AA8E"/>
    <w:rsid w:val="47E75F52"/>
    <w:rsid w:val="47F3AC4F"/>
    <w:rsid w:val="4814642A"/>
    <w:rsid w:val="483AFB09"/>
    <w:rsid w:val="487A1C13"/>
    <w:rsid w:val="48A78A5C"/>
    <w:rsid w:val="48BBBCBA"/>
    <w:rsid w:val="48DA6A7B"/>
    <w:rsid w:val="49076580"/>
    <w:rsid w:val="4945B36C"/>
    <w:rsid w:val="499C32C7"/>
    <w:rsid w:val="4A919663"/>
    <w:rsid w:val="4AABF620"/>
    <w:rsid w:val="4ABD45E5"/>
    <w:rsid w:val="4AC05C79"/>
    <w:rsid w:val="4B1A0A26"/>
    <w:rsid w:val="4B34561D"/>
    <w:rsid w:val="4C1B373C"/>
    <w:rsid w:val="4C3EFA43"/>
    <w:rsid w:val="4C813FEF"/>
    <w:rsid w:val="4C8EEBE6"/>
    <w:rsid w:val="4C983DEA"/>
    <w:rsid w:val="4D175C4E"/>
    <w:rsid w:val="4D19F85C"/>
    <w:rsid w:val="4D8B0316"/>
    <w:rsid w:val="4DBF26F9"/>
    <w:rsid w:val="4DC9C394"/>
    <w:rsid w:val="4DD343A3"/>
    <w:rsid w:val="4DD356CC"/>
    <w:rsid w:val="4E2C6038"/>
    <w:rsid w:val="4E671375"/>
    <w:rsid w:val="4E793219"/>
    <w:rsid w:val="4E8C2992"/>
    <w:rsid w:val="4E91F2CF"/>
    <w:rsid w:val="4EBA9CD9"/>
    <w:rsid w:val="4ECDA369"/>
    <w:rsid w:val="4F0BB2A2"/>
    <w:rsid w:val="4F1CA7B2"/>
    <w:rsid w:val="4F99A976"/>
    <w:rsid w:val="4FB11F25"/>
    <w:rsid w:val="4FCF8D8F"/>
    <w:rsid w:val="4FDA378E"/>
    <w:rsid w:val="4FF39059"/>
    <w:rsid w:val="5053EC19"/>
    <w:rsid w:val="509341A1"/>
    <w:rsid w:val="50A2C0BB"/>
    <w:rsid w:val="50A32804"/>
    <w:rsid w:val="50DB3665"/>
    <w:rsid w:val="50F53424"/>
    <w:rsid w:val="50F7657F"/>
    <w:rsid w:val="513F928A"/>
    <w:rsid w:val="514BEF37"/>
    <w:rsid w:val="516DBB7A"/>
    <w:rsid w:val="5183A46A"/>
    <w:rsid w:val="51954F93"/>
    <w:rsid w:val="51A1BF8D"/>
    <w:rsid w:val="51BE2174"/>
    <w:rsid w:val="5249CCFB"/>
    <w:rsid w:val="52570F71"/>
    <w:rsid w:val="52EAF158"/>
    <w:rsid w:val="52F5C71A"/>
    <w:rsid w:val="532C3D2B"/>
    <w:rsid w:val="53321122"/>
    <w:rsid w:val="543EBB29"/>
    <w:rsid w:val="54781DDC"/>
    <w:rsid w:val="54A2FEB2"/>
    <w:rsid w:val="54AA000A"/>
    <w:rsid w:val="54AB3A35"/>
    <w:rsid w:val="54BAC6A7"/>
    <w:rsid w:val="54D44146"/>
    <w:rsid w:val="54EE16E4"/>
    <w:rsid w:val="559DE4B3"/>
    <w:rsid w:val="55E5E888"/>
    <w:rsid w:val="56028431"/>
    <w:rsid w:val="56050CA5"/>
    <w:rsid w:val="565CE8C8"/>
    <w:rsid w:val="56DBB927"/>
    <w:rsid w:val="57DA9F74"/>
    <w:rsid w:val="5807BFAE"/>
    <w:rsid w:val="583973B3"/>
    <w:rsid w:val="5866B6A0"/>
    <w:rsid w:val="58789519"/>
    <w:rsid w:val="58C01CB0"/>
    <w:rsid w:val="595C18AE"/>
    <w:rsid w:val="59614359"/>
    <w:rsid w:val="59E9582D"/>
    <w:rsid w:val="5A06A0C2"/>
    <w:rsid w:val="5A537962"/>
    <w:rsid w:val="5AD7A1F0"/>
    <w:rsid w:val="5B10F107"/>
    <w:rsid w:val="5B41DAE8"/>
    <w:rsid w:val="5B748E73"/>
    <w:rsid w:val="5B9AB324"/>
    <w:rsid w:val="5BB413F7"/>
    <w:rsid w:val="5BE6415C"/>
    <w:rsid w:val="5BEE87B8"/>
    <w:rsid w:val="5C0AB40B"/>
    <w:rsid w:val="5C1D74CD"/>
    <w:rsid w:val="5C37137C"/>
    <w:rsid w:val="5C43EF35"/>
    <w:rsid w:val="5D09AEFF"/>
    <w:rsid w:val="5D946D28"/>
    <w:rsid w:val="5DFE525F"/>
    <w:rsid w:val="5E01E107"/>
    <w:rsid w:val="5E49E0F8"/>
    <w:rsid w:val="5EBBC35D"/>
    <w:rsid w:val="5F16031F"/>
    <w:rsid w:val="5F26287A"/>
    <w:rsid w:val="5F303D89"/>
    <w:rsid w:val="5F79A66E"/>
    <w:rsid w:val="5F883C8C"/>
    <w:rsid w:val="5F94B854"/>
    <w:rsid w:val="5FF9FB2A"/>
    <w:rsid w:val="603D41EE"/>
    <w:rsid w:val="6054B03C"/>
    <w:rsid w:val="6085DCD4"/>
    <w:rsid w:val="60AB6B93"/>
    <w:rsid w:val="6141CB99"/>
    <w:rsid w:val="61652768"/>
    <w:rsid w:val="616A76C1"/>
    <w:rsid w:val="61ABB07B"/>
    <w:rsid w:val="61F56772"/>
    <w:rsid w:val="62002131"/>
    <w:rsid w:val="627A0A0A"/>
    <w:rsid w:val="629DA9E0"/>
    <w:rsid w:val="62C008B0"/>
    <w:rsid w:val="62CC5916"/>
    <w:rsid w:val="62E25E8F"/>
    <w:rsid w:val="6321CDFC"/>
    <w:rsid w:val="634D43F9"/>
    <w:rsid w:val="634DEDD0"/>
    <w:rsid w:val="63A361BC"/>
    <w:rsid w:val="63B97EB3"/>
    <w:rsid w:val="63CAF745"/>
    <w:rsid w:val="63CC26A3"/>
    <w:rsid w:val="64808BD5"/>
    <w:rsid w:val="64C492E5"/>
    <w:rsid w:val="64EEEF32"/>
    <w:rsid w:val="64F2ED23"/>
    <w:rsid w:val="6502ACF2"/>
    <w:rsid w:val="6503D75D"/>
    <w:rsid w:val="6544AE89"/>
    <w:rsid w:val="655A83E6"/>
    <w:rsid w:val="65B8CBEC"/>
    <w:rsid w:val="65DB8120"/>
    <w:rsid w:val="6603F9D8"/>
    <w:rsid w:val="662AEBC3"/>
    <w:rsid w:val="666849BE"/>
    <w:rsid w:val="668554F6"/>
    <w:rsid w:val="669F65E8"/>
    <w:rsid w:val="66CB6559"/>
    <w:rsid w:val="6720A62A"/>
    <w:rsid w:val="67222711"/>
    <w:rsid w:val="67549C4D"/>
    <w:rsid w:val="678286F8"/>
    <w:rsid w:val="6787FAFF"/>
    <w:rsid w:val="679FCA39"/>
    <w:rsid w:val="68240725"/>
    <w:rsid w:val="6866B795"/>
    <w:rsid w:val="68B04B84"/>
    <w:rsid w:val="68E94B8E"/>
    <w:rsid w:val="68F8EFD5"/>
    <w:rsid w:val="690E92CB"/>
    <w:rsid w:val="694ECFB8"/>
    <w:rsid w:val="695DF994"/>
    <w:rsid w:val="69663A3C"/>
    <w:rsid w:val="69785583"/>
    <w:rsid w:val="69831B46"/>
    <w:rsid w:val="69BFD786"/>
    <w:rsid w:val="6A2A69A3"/>
    <w:rsid w:val="6A2F6E17"/>
    <w:rsid w:val="6A4FA82C"/>
    <w:rsid w:val="6A68C0BC"/>
    <w:rsid w:val="6A7CB2EE"/>
    <w:rsid w:val="6A8C3D0F"/>
    <w:rsid w:val="6ADB4B49"/>
    <w:rsid w:val="6AFF6F25"/>
    <w:rsid w:val="6B3CAF68"/>
    <w:rsid w:val="6B58C619"/>
    <w:rsid w:val="6B6AD34C"/>
    <w:rsid w:val="6B92E63A"/>
    <w:rsid w:val="6C0D85AD"/>
    <w:rsid w:val="6C3AC170"/>
    <w:rsid w:val="6C529328"/>
    <w:rsid w:val="6CAF49EB"/>
    <w:rsid w:val="6CD01046"/>
    <w:rsid w:val="6CF02819"/>
    <w:rsid w:val="6CF2D830"/>
    <w:rsid w:val="6D31FBBD"/>
    <w:rsid w:val="6D6DFBD1"/>
    <w:rsid w:val="6D9B61CF"/>
    <w:rsid w:val="6DC31CF4"/>
    <w:rsid w:val="6E0F0BBD"/>
    <w:rsid w:val="6E5491A7"/>
    <w:rsid w:val="6EC899D4"/>
    <w:rsid w:val="6F19338B"/>
    <w:rsid w:val="6F39B55C"/>
    <w:rsid w:val="6F3A9F58"/>
    <w:rsid w:val="6F5F1F42"/>
    <w:rsid w:val="6F70FDB8"/>
    <w:rsid w:val="6FAADC1E"/>
    <w:rsid w:val="6FC336AC"/>
    <w:rsid w:val="6FCA3519"/>
    <w:rsid w:val="6FF363CF"/>
    <w:rsid w:val="70DEAE5C"/>
    <w:rsid w:val="70ECDA14"/>
    <w:rsid w:val="71057436"/>
    <w:rsid w:val="7129264B"/>
    <w:rsid w:val="712A7130"/>
    <w:rsid w:val="7130518F"/>
    <w:rsid w:val="719E43DB"/>
    <w:rsid w:val="71D60ECB"/>
    <w:rsid w:val="7208763C"/>
    <w:rsid w:val="722050E8"/>
    <w:rsid w:val="724AC85F"/>
    <w:rsid w:val="7272401A"/>
    <w:rsid w:val="727A7EBD"/>
    <w:rsid w:val="72F07612"/>
    <w:rsid w:val="72F264AE"/>
    <w:rsid w:val="7364C093"/>
    <w:rsid w:val="73A4469D"/>
    <w:rsid w:val="73C28D98"/>
    <w:rsid w:val="74805017"/>
    <w:rsid w:val="748A0964"/>
    <w:rsid w:val="74CECBF8"/>
    <w:rsid w:val="75A9E0DC"/>
    <w:rsid w:val="75DFA566"/>
    <w:rsid w:val="767E0A7F"/>
    <w:rsid w:val="7686285E"/>
    <w:rsid w:val="76E684CD"/>
    <w:rsid w:val="771502D7"/>
    <w:rsid w:val="779CC5A6"/>
    <w:rsid w:val="77B12145"/>
    <w:rsid w:val="7857B02F"/>
    <w:rsid w:val="7893EAA5"/>
    <w:rsid w:val="78E1819E"/>
    <w:rsid w:val="78E9C041"/>
    <w:rsid w:val="790E7DFE"/>
    <w:rsid w:val="795CFA22"/>
    <w:rsid w:val="79B582C4"/>
    <w:rsid w:val="7A23E743"/>
    <w:rsid w:val="7A7D51FF"/>
    <w:rsid w:val="7B7ECB02"/>
    <w:rsid w:val="7B84EE41"/>
    <w:rsid w:val="7BB41D82"/>
    <w:rsid w:val="7BBBAD93"/>
    <w:rsid w:val="7BC3AF21"/>
    <w:rsid w:val="7C021767"/>
    <w:rsid w:val="7C0A6308"/>
    <w:rsid w:val="7C70A478"/>
    <w:rsid w:val="7C9A7D10"/>
    <w:rsid w:val="7CC3EBDA"/>
    <w:rsid w:val="7CFF7EF1"/>
    <w:rsid w:val="7D2A9D5F"/>
    <w:rsid w:val="7D48E7D6"/>
    <w:rsid w:val="7D4AD15F"/>
    <w:rsid w:val="7D73E6CE"/>
    <w:rsid w:val="7D79FF35"/>
    <w:rsid w:val="7D88293E"/>
    <w:rsid w:val="7D886C78"/>
    <w:rsid w:val="7DE18A7A"/>
    <w:rsid w:val="7DE1EF21"/>
    <w:rsid w:val="7DFFEC86"/>
    <w:rsid w:val="7E8972DD"/>
    <w:rsid w:val="7E913A43"/>
    <w:rsid w:val="7EA2C35D"/>
    <w:rsid w:val="7EAD7B11"/>
    <w:rsid w:val="7EE145AF"/>
    <w:rsid w:val="7EE6A1C0"/>
    <w:rsid w:val="7EE933FD"/>
    <w:rsid w:val="7F573EB7"/>
    <w:rsid w:val="7FD27CA1"/>
    <w:rsid w:val="7FF778F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176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Arial Unicode MS" w:hAnsi="Georgia"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CDA"/>
  </w:style>
  <w:style w:type="paragraph" w:styleId="Heading1">
    <w:name w:val="heading 1"/>
    <w:basedOn w:val="Normal"/>
    <w:next w:val="BodyText"/>
    <w:link w:val="Heading1Char"/>
    <w:qFormat/>
    <w:pPr>
      <w:keepNext/>
      <w:numPr>
        <w:numId w:val="3"/>
      </w:numPr>
      <w:spacing w:after="240"/>
      <w:outlineLvl w:val="0"/>
    </w:pPr>
  </w:style>
  <w:style w:type="paragraph" w:styleId="Heading2">
    <w:name w:val="heading 2"/>
    <w:basedOn w:val="Normal"/>
    <w:next w:val="BodyText"/>
    <w:qFormat/>
    <w:pPr>
      <w:keepNext/>
      <w:numPr>
        <w:ilvl w:val="1"/>
        <w:numId w:val="4"/>
      </w:numPr>
      <w:spacing w:after="240"/>
      <w:outlineLvl w:val="1"/>
    </w:pPr>
  </w:style>
  <w:style w:type="paragraph" w:styleId="Heading3">
    <w:name w:val="heading 3"/>
    <w:basedOn w:val="Normal"/>
    <w:next w:val="BodyText"/>
    <w:qFormat/>
    <w:pPr>
      <w:numPr>
        <w:ilvl w:val="2"/>
        <w:numId w:val="5"/>
      </w:numPr>
      <w:tabs>
        <w:tab w:val="clear" w:pos="2430"/>
        <w:tab w:val="num" w:pos="2160"/>
      </w:tabs>
      <w:spacing w:after="240"/>
      <w:ind w:left="2160"/>
      <w:outlineLvl w:val="2"/>
    </w:pPr>
  </w:style>
  <w:style w:type="paragraph" w:styleId="Heading4">
    <w:name w:val="heading 4"/>
    <w:basedOn w:val="Normal"/>
    <w:next w:val="BodyText"/>
    <w:qFormat/>
    <w:pPr>
      <w:numPr>
        <w:ilvl w:val="3"/>
        <w:numId w:val="6"/>
      </w:numPr>
      <w:tabs>
        <w:tab w:val="clear" w:pos="1855"/>
        <w:tab w:val="num" w:pos="2880"/>
      </w:tabs>
      <w:spacing w:after="240"/>
      <w:ind w:left="2880"/>
      <w:outlineLvl w:val="3"/>
    </w:pPr>
  </w:style>
  <w:style w:type="paragraph" w:styleId="Heading5">
    <w:name w:val="heading 5"/>
    <w:basedOn w:val="Normal"/>
    <w:next w:val="BodyText"/>
    <w:qFormat/>
    <w:pPr>
      <w:numPr>
        <w:ilvl w:val="4"/>
        <w:numId w:val="7"/>
      </w:numPr>
      <w:spacing w:after="240"/>
      <w:outlineLvl w:val="4"/>
    </w:pPr>
  </w:style>
  <w:style w:type="paragraph" w:styleId="Heading6">
    <w:name w:val="heading 6"/>
    <w:basedOn w:val="Normal"/>
    <w:next w:val="BodyText"/>
    <w:qFormat/>
    <w:pPr>
      <w:numPr>
        <w:ilvl w:val="5"/>
        <w:numId w:val="8"/>
      </w:numPr>
      <w:spacing w:after="240"/>
      <w:outlineLvl w:val="5"/>
    </w:pPr>
  </w:style>
  <w:style w:type="paragraph" w:styleId="Heading7">
    <w:name w:val="heading 7"/>
    <w:basedOn w:val="Normal"/>
    <w:next w:val="BodyText"/>
    <w:qFormat/>
    <w:pPr>
      <w:numPr>
        <w:ilvl w:val="6"/>
        <w:numId w:val="9"/>
      </w:numPr>
      <w:spacing w:after="240"/>
      <w:outlineLvl w:val="6"/>
    </w:pPr>
  </w:style>
  <w:style w:type="paragraph" w:styleId="Heading8">
    <w:name w:val="heading 8"/>
    <w:basedOn w:val="Normal"/>
    <w:next w:val="BodyText"/>
    <w:qFormat/>
    <w:pPr>
      <w:numPr>
        <w:ilvl w:val="7"/>
        <w:numId w:val="10"/>
      </w:numPr>
      <w:spacing w:after="240"/>
      <w:outlineLvl w:val="7"/>
    </w:pPr>
  </w:style>
  <w:style w:type="paragraph" w:styleId="Heading9">
    <w:name w:val="heading 9"/>
    <w:basedOn w:val="Normal"/>
    <w:next w:val="BodyText"/>
    <w:qFormat/>
    <w:pPr>
      <w:numPr>
        <w:ilvl w:val="8"/>
        <w:numId w:val="1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pPr>
      <w:spacing w:after="240"/>
      <w:ind w:left="1440" w:right="1440"/>
    </w:pPr>
  </w:style>
  <w:style w:type="paragraph" w:styleId="BodyText2">
    <w:name w:val="Body Text 2"/>
    <w:basedOn w:val="Normal"/>
    <w:link w:val="BodyText2Char"/>
    <w:pPr>
      <w:spacing w:line="480" w:lineRule="auto"/>
    </w:pPr>
  </w:style>
  <w:style w:type="paragraph" w:customStyle="1" w:styleId="To">
    <w:name w:val="To"/>
    <w:basedOn w:val="Normal"/>
    <w:rsid w:val="00721C7E"/>
    <w:pPr>
      <w:spacing w:after="240"/>
      <w:ind w:left="720" w:hanging="720"/>
    </w:pPr>
  </w:style>
  <w:style w:type="paragraph" w:styleId="BodyText">
    <w:name w:val="Body Text"/>
    <w:basedOn w:val="Normal"/>
    <w:link w:val="BodyTextChar"/>
    <w:qFormat/>
    <w:rsid w:val="00C81B01"/>
    <w:pPr>
      <w:spacing w:after="240"/>
    </w:pPr>
  </w:style>
  <w:style w:type="paragraph" w:styleId="BodyTextFirstIndent">
    <w:name w:val="Body Text First Indent"/>
    <w:basedOn w:val="BodyText"/>
    <w:pPr>
      <w:ind w:firstLine="1440"/>
    </w:pPr>
  </w:style>
  <w:style w:type="paragraph" w:styleId="BodyTextIndent">
    <w:name w:val="Body Text Indent"/>
    <w:basedOn w:val="Normal"/>
    <w:pPr>
      <w:spacing w:after="240"/>
      <w:ind w:left="720"/>
    </w:pPr>
  </w:style>
  <w:style w:type="paragraph" w:styleId="BodyTextFirstIndent2">
    <w:name w:val="Body Text First Indent 2"/>
    <w:basedOn w:val="BodyTextFirstIndent"/>
    <w:rsid w:val="00721C7E"/>
    <w:pPr>
      <w:spacing w:line="480" w:lineRule="auto"/>
    </w:pPr>
  </w:style>
  <w:style w:type="paragraph" w:styleId="BodyTextIndent2">
    <w:name w:val="Body Text Indent 2"/>
    <w:basedOn w:val="Normal"/>
    <w:pPr>
      <w:spacing w:line="480" w:lineRule="auto"/>
      <w:ind w:left="720"/>
    </w:pPr>
  </w:style>
  <w:style w:type="paragraph" w:customStyle="1" w:styleId="From">
    <w:name w:val="From"/>
    <w:basedOn w:val="To"/>
  </w:style>
  <w:style w:type="paragraph" w:styleId="List">
    <w:name w:val="List"/>
    <w:basedOn w:val="Normal"/>
    <w:pPr>
      <w:spacing w:after="240"/>
      <w:ind w:left="360" w:hanging="360"/>
    </w:pPr>
  </w:style>
  <w:style w:type="paragraph" w:styleId="List2">
    <w:name w:val="List 2"/>
    <w:basedOn w:val="Normal"/>
    <w:pPr>
      <w:spacing w:after="240"/>
      <w:ind w:left="720" w:hanging="360"/>
    </w:pPr>
  </w:style>
  <w:style w:type="paragraph" w:styleId="List3">
    <w:name w:val="List 3"/>
    <w:basedOn w:val="Normal"/>
    <w:pPr>
      <w:spacing w:after="240"/>
      <w:ind w:left="1080" w:hanging="360"/>
    </w:pPr>
  </w:style>
  <w:style w:type="paragraph" w:styleId="List4">
    <w:name w:val="List 4"/>
    <w:basedOn w:val="Normal"/>
    <w:pPr>
      <w:spacing w:after="240"/>
      <w:ind w:left="1440" w:hanging="360"/>
    </w:pPr>
  </w:style>
  <w:style w:type="paragraph" w:styleId="List5">
    <w:name w:val="List 5"/>
    <w:basedOn w:val="Normal"/>
    <w:pPr>
      <w:spacing w:after="240"/>
      <w:ind w:left="1800" w:hanging="360"/>
    </w:pPr>
  </w:style>
  <w:style w:type="paragraph" w:styleId="ListBullet">
    <w:name w:val="List Bullet"/>
    <w:basedOn w:val="Normal"/>
    <w:autoRedefine/>
    <w:pPr>
      <w:numPr>
        <w:numId w:val="18"/>
      </w:numPr>
      <w:tabs>
        <w:tab w:val="clear" w:pos="360"/>
      </w:tabs>
      <w:spacing w:after="240"/>
    </w:pPr>
  </w:style>
  <w:style w:type="paragraph" w:styleId="ListBullet2">
    <w:name w:val="List Bullet 2"/>
    <w:basedOn w:val="Normal"/>
    <w:autoRedefine/>
    <w:pPr>
      <w:numPr>
        <w:numId w:val="14"/>
      </w:numPr>
      <w:tabs>
        <w:tab w:val="clear" w:pos="720"/>
      </w:tabs>
      <w:spacing w:after="240"/>
    </w:pPr>
  </w:style>
  <w:style w:type="paragraph" w:styleId="ListBullet3">
    <w:name w:val="List Bullet 3"/>
    <w:basedOn w:val="Normal"/>
    <w:autoRedefine/>
    <w:pPr>
      <w:numPr>
        <w:numId w:val="15"/>
      </w:numPr>
      <w:tabs>
        <w:tab w:val="clear" w:pos="1080"/>
      </w:tabs>
      <w:spacing w:after="240"/>
    </w:pPr>
  </w:style>
  <w:style w:type="paragraph" w:styleId="ListBullet4">
    <w:name w:val="List Bullet 4"/>
    <w:basedOn w:val="Normal"/>
    <w:autoRedefine/>
    <w:pPr>
      <w:numPr>
        <w:numId w:val="16"/>
      </w:numPr>
      <w:tabs>
        <w:tab w:val="clear" w:pos="1440"/>
      </w:tabs>
      <w:spacing w:after="240"/>
    </w:pPr>
  </w:style>
  <w:style w:type="paragraph" w:styleId="ListBullet5">
    <w:name w:val="List Bullet 5"/>
    <w:basedOn w:val="Normal"/>
    <w:autoRedefine/>
    <w:pPr>
      <w:numPr>
        <w:numId w:val="17"/>
      </w:numPr>
      <w:tabs>
        <w:tab w:val="clear" w:pos="1800"/>
      </w:tabs>
      <w:spacing w:after="240"/>
    </w:pPr>
  </w:style>
  <w:style w:type="paragraph" w:styleId="ListContinue">
    <w:name w:val="List Continue"/>
    <w:basedOn w:val="Normal"/>
    <w:pPr>
      <w:spacing w:after="240"/>
      <w:ind w:left="360"/>
    </w:pPr>
  </w:style>
  <w:style w:type="paragraph" w:styleId="ListContinue2">
    <w:name w:val="List Continue 2"/>
    <w:basedOn w:val="Normal"/>
    <w:pPr>
      <w:spacing w:after="240"/>
      <w:ind w:left="720"/>
    </w:pPr>
  </w:style>
  <w:style w:type="paragraph" w:styleId="ListContinue3">
    <w:name w:val="List Continue 3"/>
    <w:basedOn w:val="Normal"/>
    <w:pPr>
      <w:spacing w:after="240"/>
      <w:ind w:left="1080"/>
    </w:pPr>
  </w:style>
  <w:style w:type="paragraph" w:styleId="ListContinue4">
    <w:name w:val="List Continue 4"/>
    <w:basedOn w:val="Normal"/>
    <w:pPr>
      <w:spacing w:after="240"/>
      <w:ind w:left="1440"/>
    </w:pPr>
  </w:style>
  <w:style w:type="paragraph" w:styleId="ListContinue5">
    <w:name w:val="List Continue 5"/>
    <w:basedOn w:val="Normal"/>
    <w:pPr>
      <w:spacing w:after="240"/>
      <w:ind w:left="1800"/>
    </w:pPr>
  </w:style>
  <w:style w:type="paragraph" w:styleId="ListNumber">
    <w:name w:val="List Number"/>
    <w:basedOn w:val="Normal"/>
    <w:pPr>
      <w:numPr>
        <w:numId w:val="23"/>
      </w:numPr>
      <w:tabs>
        <w:tab w:val="clear" w:pos="360"/>
      </w:tabs>
      <w:spacing w:after="240"/>
    </w:pPr>
  </w:style>
  <w:style w:type="paragraph" w:styleId="ListNumber2">
    <w:name w:val="List Number 2"/>
    <w:basedOn w:val="Normal"/>
    <w:pPr>
      <w:numPr>
        <w:numId w:val="19"/>
      </w:numPr>
      <w:tabs>
        <w:tab w:val="clear" w:pos="720"/>
      </w:tabs>
      <w:spacing w:after="240"/>
    </w:pPr>
  </w:style>
  <w:style w:type="paragraph" w:styleId="ListNumber3">
    <w:name w:val="List Number 3"/>
    <w:basedOn w:val="Normal"/>
    <w:pPr>
      <w:numPr>
        <w:numId w:val="20"/>
      </w:numPr>
      <w:tabs>
        <w:tab w:val="clear" w:pos="1080"/>
      </w:tabs>
      <w:spacing w:after="240"/>
    </w:pPr>
  </w:style>
  <w:style w:type="paragraph" w:styleId="ListNumber4">
    <w:name w:val="List Number 4"/>
    <w:basedOn w:val="Normal"/>
    <w:pPr>
      <w:numPr>
        <w:numId w:val="21"/>
      </w:numPr>
      <w:tabs>
        <w:tab w:val="clear" w:pos="1440"/>
      </w:tabs>
      <w:spacing w:after="240"/>
    </w:pPr>
  </w:style>
  <w:style w:type="paragraph" w:styleId="ListNumber5">
    <w:name w:val="List Number 5"/>
    <w:basedOn w:val="Normal"/>
    <w:pPr>
      <w:numPr>
        <w:numId w:val="22"/>
      </w:numPr>
      <w:tabs>
        <w:tab w:val="clear" w:pos="1800"/>
      </w:tabs>
      <w:spacing w:after="240"/>
    </w:pPr>
  </w:style>
  <w:style w:type="paragraph" w:styleId="Salutation">
    <w:name w:val="Salutation"/>
    <w:basedOn w:val="Normal"/>
    <w:next w:val="Normal"/>
  </w:style>
  <w:style w:type="paragraph" w:styleId="Signature">
    <w:name w:val="Signature"/>
    <w:basedOn w:val="Normal"/>
    <w:pPr>
      <w:ind w:left="4320"/>
    </w:pPr>
  </w:style>
  <w:style w:type="paragraph" w:customStyle="1" w:styleId="NumberedParaSingle">
    <w:name w:val="Numbered Para Single"/>
    <w:basedOn w:val="Normal"/>
    <w:pPr>
      <w:numPr>
        <w:numId w:val="25"/>
      </w:numPr>
      <w:tabs>
        <w:tab w:val="clear" w:pos="1800"/>
        <w:tab w:val="left" w:pos="2160"/>
      </w:tabs>
    </w:pPr>
  </w:style>
  <w:style w:type="paragraph" w:customStyle="1" w:styleId="NumberedParaDouble">
    <w:name w:val="Numbered Para Double"/>
    <w:basedOn w:val="Normal"/>
    <w:pPr>
      <w:numPr>
        <w:numId w:val="24"/>
      </w:numPr>
      <w:tabs>
        <w:tab w:val="clear" w:pos="1800"/>
        <w:tab w:val="left" w:pos="2160"/>
      </w:tabs>
      <w:spacing w:line="480" w:lineRule="auto"/>
    </w:pPr>
  </w:style>
  <w:style w:type="paragraph" w:styleId="FootnoteText">
    <w:name w:val="footnote text"/>
    <w:basedOn w:val="Normal"/>
    <w:link w:val="FootnoteTextChar"/>
    <w:uiPriority w:val="99"/>
    <w:semiHidden/>
    <w:pPr>
      <w:spacing w:after="120" w:line="260" w:lineRule="exact"/>
    </w:pPr>
  </w:style>
  <w:style w:type="paragraph" w:styleId="NormalIndent">
    <w:name w:val="Normal Indent"/>
    <w:basedOn w:val="Normal"/>
    <w:semiHidden/>
    <w:pPr>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Title">
    <w:name w:val="Title"/>
    <w:basedOn w:val="Normal"/>
    <w:qFormat/>
    <w:pPr>
      <w:keepNext/>
      <w:spacing w:after="240"/>
      <w:jc w:val="center"/>
      <w:outlineLvl w:val="0"/>
    </w:pPr>
    <w:rPr>
      <w:b/>
    </w:rPr>
  </w:style>
  <w:style w:type="paragraph" w:styleId="TOAHeading">
    <w:name w:val="toa heading"/>
    <w:basedOn w:val="Normal"/>
    <w:next w:val="Normal"/>
    <w:semiHidden/>
    <w:pPr>
      <w:spacing w:before="120"/>
    </w:pPr>
    <w:rPr>
      <w:b/>
    </w:rPr>
  </w:style>
  <w:style w:type="character" w:styleId="FootnoteReference">
    <w:name w:val="footnote reference"/>
    <w:uiPriority w:val="99"/>
    <w:semiHidden/>
    <w:rPr>
      <w:vertAlign w:val="superscript"/>
    </w:rPr>
  </w:style>
  <w:style w:type="paragraph" w:styleId="Footer">
    <w:name w:val="footer"/>
    <w:basedOn w:val="Normal"/>
    <w:link w:val="FooterChar"/>
    <w:uiPriority w:val="99"/>
    <w:unhideWhenUsed/>
    <w:pPr>
      <w:tabs>
        <w:tab w:val="center" w:pos="4680"/>
        <w:tab w:val="right" w:pos="9360"/>
      </w:tabs>
    </w:pPr>
  </w:style>
  <w:style w:type="paragraph" w:customStyle="1" w:styleId="LetteredParagraphSingle">
    <w:name w:val="Lettered Paragraph Single"/>
    <w:basedOn w:val="Normal"/>
    <w:pPr>
      <w:numPr>
        <w:numId w:val="13"/>
      </w:numPr>
      <w:tabs>
        <w:tab w:val="clear" w:pos="1800"/>
        <w:tab w:val="left" w:pos="2160"/>
      </w:tabs>
    </w:pPr>
  </w:style>
  <w:style w:type="character" w:styleId="PageNumber">
    <w:name w:val="page number"/>
    <w:rPr>
      <w:rFonts w:ascii="Times New Roman" w:hAnsi="Times New Roman"/>
      <w:sz w:val="24"/>
    </w:rPr>
  </w:style>
  <w:style w:type="paragraph" w:customStyle="1" w:styleId="LetteredParagraphDouble">
    <w:name w:val="Lettered Paragraph Double"/>
    <w:basedOn w:val="Normal"/>
    <w:pPr>
      <w:numPr>
        <w:numId w:val="12"/>
      </w:numPr>
      <w:tabs>
        <w:tab w:val="clear" w:pos="1800"/>
        <w:tab w:val="left" w:pos="2160"/>
      </w:tabs>
      <w:spacing w:line="480" w:lineRule="auto"/>
    </w:p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Header">
    <w:name w:val="header"/>
    <w:basedOn w:val="Normal"/>
    <w:unhideWhenUsed/>
    <w:pPr>
      <w:tabs>
        <w:tab w:val="center" w:pos="4680"/>
        <w:tab w:val="right" w:pos="9360"/>
      </w:tabs>
    </w:pPr>
  </w:style>
  <w:style w:type="paragraph" w:customStyle="1" w:styleId="Re">
    <w:name w:val="Re"/>
    <w:basedOn w:val="To"/>
    <w:next w:val="BodyText"/>
    <w:rsid w:val="001A0CEB"/>
    <w:pPr>
      <w:spacing w:after="480"/>
    </w:pPr>
    <w:rPr>
      <w:b/>
    </w:rPr>
  </w:style>
  <w:style w:type="paragraph" w:customStyle="1" w:styleId="TableText">
    <w:name w:val="Table Text"/>
    <w:basedOn w:val="Normal"/>
    <w:pPr>
      <w:spacing w:before="60" w:after="60"/>
    </w:pPr>
  </w:style>
  <w:style w:type="paragraph" w:customStyle="1" w:styleId="TableEnd">
    <w:name w:val="Table End"/>
    <w:basedOn w:val="TableText"/>
    <w:pPr>
      <w:spacing w:after="180"/>
    </w:pPr>
  </w:style>
  <w:style w:type="paragraph" w:customStyle="1" w:styleId="TableHeading">
    <w:name w:val="Table Heading"/>
    <w:basedOn w:val="Normal"/>
    <w:pPr>
      <w:keepNext/>
      <w:spacing w:before="240" w:after="60"/>
      <w:jc w:val="center"/>
    </w:pPr>
    <w:rPr>
      <w:b/>
    </w:rPr>
  </w:style>
  <w:style w:type="paragraph" w:styleId="TOC1">
    <w:name w:val="toc 1"/>
    <w:basedOn w:val="Normal"/>
    <w:next w:val="Normal"/>
    <w:semiHidden/>
    <w:pPr>
      <w:tabs>
        <w:tab w:val="right" w:leader="dot" w:pos="9360"/>
      </w:tabs>
      <w:spacing w:after="240"/>
      <w:ind w:left="720" w:right="720" w:hanging="720"/>
    </w:pPr>
  </w:style>
  <w:style w:type="paragraph" w:styleId="TOC2">
    <w:name w:val="toc 2"/>
    <w:basedOn w:val="Normal"/>
    <w:next w:val="Normal"/>
    <w:semiHidden/>
    <w:pPr>
      <w:tabs>
        <w:tab w:val="right" w:pos="9360"/>
      </w:tabs>
      <w:spacing w:after="240"/>
      <w:ind w:left="1440" w:right="720" w:hanging="720"/>
    </w:pPr>
  </w:style>
  <w:style w:type="paragraph" w:styleId="TOC3">
    <w:name w:val="toc 3"/>
    <w:basedOn w:val="Normal"/>
    <w:next w:val="Normal"/>
    <w:semiHidden/>
    <w:pPr>
      <w:tabs>
        <w:tab w:val="right" w:leader="dot" w:pos="9360"/>
      </w:tabs>
      <w:spacing w:after="240"/>
      <w:ind w:left="2160" w:right="720" w:hanging="720"/>
    </w:pPr>
  </w:style>
  <w:style w:type="paragraph" w:styleId="TOC4">
    <w:name w:val="toc 4"/>
    <w:basedOn w:val="Normal"/>
    <w:next w:val="Normal"/>
    <w:semiHidden/>
    <w:pPr>
      <w:tabs>
        <w:tab w:val="right" w:leader="dot" w:pos="9360"/>
      </w:tabs>
      <w:spacing w:after="240"/>
      <w:ind w:left="2880" w:right="720" w:hanging="720"/>
    </w:pPr>
  </w:style>
  <w:style w:type="paragraph" w:styleId="TOC5">
    <w:name w:val="toc 5"/>
    <w:basedOn w:val="Normal"/>
    <w:next w:val="Normal"/>
    <w:semiHidden/>
    <w:pPr>
      <w:tabs>
        <w:tab w:val="right" w:leader="dot" w:pos="9360"/>
      </w:tabs>
      <w:spacing w:after="240"/>
      <w:ind w:left="3600" w:right="720" w:hanging="720"/>
    </w:pPr>
  </w:style>
  <w:style w:type="paragraph" w:styleId="TOC6">
    <w:name w:val="toc 6"/>
    <w:basedOn w:val="Normal"/>
    <w:next w:val="Normal"/>
    <w:semiHidden/>
    <w:pPr>
      <w:tabs>
        <w:tab w:val="right" w:leader="dot" w:pos="9360"/>
      </w:tabs>
      <w:spacing w:after="240"/>
      <w:ind w:left="4320" w:right="720" w:hanging="720"/>
    </w:pPr>
  </w:style>
  <w:style w:type="paragraph" w:styleId="TOC7">
    <w:name w:val="toc 7"/>
    <w:basedOn w:val="Normal"/>
    <w:next w:val="Normal"/>
    <w:semiHidden/>
    <w:pPr>
      <w:tabs>
        <w:tab w:val="right" w:leader="dot" w:pos="9360"/>
      </w:tabs>
      <w:spacing w:after="240"/>
      <w:ind w:left="5040" w:right="720" w:hanging="720"/>
    </w:pPr>
  </w:style>
  <w:style w:type="paragraph" w:styleId="TOC8">
    <w:name w:val="toc 8"/>
    <w:basedOn w:val="Normal"/>
    <w:next w:val="Normal"/>
    <w:semiHidden/>
    <w:pPr>
      <w:tabs>
        <w:tab w:val="right" w:leader="dot" w:pos="9360"/>
      </w:tabs>
      <w:spacing w:after="240"/>
      <w:ind w:left="5760" w:right="720" w:hanging="720"/>
    </w:pPr>
  </w:style>
  <w:style w:type="paragraph" w:styleId="TOC9">
    <w:name w:val="toc 9"/>
    <w:basedOn w:val="Normal"/>
    <w:next w:val="Normal"/>
    <w:semiHidden/>
    <w:pPr>
      <w:tabs>
        <w:tab w:val="right" w:leader="dot" w:pos="9360"/>
      </w:tabs>
      <w:spacing w:after="240"/>
      <w:ind w:left="6480" w:right="720" w:hanging="720"/>
    </w:pPr>
  </w:style>
  <w:style w:type="paragraph" w:customStyle="1" w:styleId="MemoTitle">
    <w:name w:val="Memo Title"/>
    <w:basedOn w:val="Normal"/>
    <w:next w:val="To"/>
    <w:rsid w:val="0091676C"/>
    <w:pPr>
      <w:pBdr>
        <w:bottom w:val="single" w:sz="4" w:space="5" w:color="auto"/>
      </w:pBdr>
      <w:spacing w:before="240" w:after="720"/>
    </w:pPr>
    <w:rPr>
      <w:b/>
      <w:sz w:val="26"/>
      <w:szCs w:val="26"/>
    </w:rPr>
  </w:style>
  <w:style w:type="paragraph" w:styleId="Date">
    <w:name w:val="Date"/>
    <w:basedOn w:val="Normal"/>
    <w:next w:val="Normal"/>
    <w:pPr>
      <w:spacing w:before="720" w:after="480"/>
      <w:ind w:left="6480"/>
    </w:pPr>
  </w:style>
  <w:style w:type="paragraph" w:styleId="BalloonText">
    <w:name w:val="Balloon Text"/>
    <w:basedOn w:val="Normal"/>
    <w:link w:val="BalloonTextChar"/>
    <w:uiPriority w:val="5"/>
    <w:rsid w:val="00BE012B"/>
    <w:rPr>
      <w:rFonts w:ascii="Tahoma" w:hAnsi="Tahoma" w:cs="Tahoma"/>
      <w:sz w:val="16"/>
      <w:szCs w:val="16"/>
    </w:rPr>
  </w:style>
  <w:style w:type="character" w:customStyle="1" w:styleId="BalloonTextChar">
    <w:name w:val="Balloon Text Char"/>
    <w:basedOn w:val="DefaultParagraphFont"/>
    <w:link w:val="BalloonText"/>
    <w:uiPriority w:val="5"/>
    <w:rsid w:val="00481300"/>
    <w:rPr>
      <w:rFonts w:ascii="Tahoma" w:hAnsi="Tahoma" w:cs="Tahoma"/>
      <w:sz w:val="16"/>
      <w:szCs w:val="16"/>
    </w:rPr>
  </w:style>
  <w:style w:type="paragraph" w:customStyle="1" w:styleId="StampAndDate">
    <w:name w:val="StampAndDate"/>
    <w:basedOn w:val="Date"/>
    <w:next w:val="MemoTitle"/>
    <w:rsid w:val="00350B42"/>
    <w:pPr>
      <w:tabs>
        <w:tab w:val="left" w:pos="6912"/>
      </w:tabs>
      <w:spacing w:before="0" w:after="0"/>
      <w:ind w:left="0"/>
    </w:pPr>
  </w:style>
  <w:style w:type="paragraph" w:customStyle="1" w:styleId="HeaderSpacing">
    <w:name w:val="HeaderSpacing"/>
    <w:basedOn w:val="Header"/>
    <w:rsid w:val="001A0CEB"/>
    <w:pPr>
      <w:spacing w:after="1520"/>
    </w:pPr>
  </w:style>
  <w:style w:type="paragraph" w:customStyle="1" w:styleId="BodyTextFirstHalfIndent">
    <w:name w:val="Body Text First Half Indent"/>
    <w:basedOn w:val="BodyText"/>
    <w:rsid w:val="00350B42"/>
    <w:pPr>
      <w:ind w:firstLine="720"/>
    </w:pPr>
  </w:style>
  <w:style w:type="paragraph" w:customStyle="1" w:styleId="BodyTextFirstHalfIndent2">
    <w:name w:val="Body Text First Half Indent 2"/>
    <w:basedOn w:val="BodyTextFirstHalfIndent"/>
    <w:rsid w:val="00350B42"/>
    <w:pPr>
      <w:spacing w:line="480" w:lineRule="auto"/>
    </w:pPr>
  </w:style>
  <w:style w:type="paragraph" w:customStyle="1" w:styleId="BodyTextHalfIndent">
    <w:name w:val="Body Text Half Indent"/>
    <w:basedOn w:val="BodyText"/>
    <w:rsid w:val="0077483E"/>
    <w:pPr>
      <w:ind w:left="720"/>
    </w:pPr>
  </w:style>
  <w:style w:type="paragraph" w:customStyle="1" w:styleId="BodyTextHalfIndent2">
    <w:name w:val="Body Text Half Indent 2"/>
    <w:basedOn w:val="BodyTextHalfIndent"/>
    <w:rsid w:val="0077483E"/>
    <w:pPr>
      <w:spacing w:line="480" w:lineRule="auto"/>
    </w:pPr>
  </w:style>
  <w:style w:type="character" w:customStyle="1" w:styleId="Stamp">
    <w:name w:val="Stamp"/>
    <w:basedOn w:val="DateFormat"/>
    <w:uiPriority w:val="1"/>
    <w:rsid w:val="00344060"/>
    <w:rPr>
      <w:b w:val="0"/>
    </w:rPr>
  </w:style>
  <w:style w:type="character" w:customStyle="1" w:styleId="DateFormat">
    <w:name w:val="DateFormat"/>
    <w:basedOn w:val="DefaultParagraphFont"/>
    <w:uiPriority w:val="1"/>
    <w:qFormat/>
    <w:rsid w:val="00873461"/>
  </w:style>
  <w:style w:type="paragraph" w:customStyle="1" w:styleId="c01pointnumerotealtn">
    <w:name w:val="c01pointnumerotealtn"/>
    <w:basedOn w:val="Normal"/>
    <w:rsid w:val="00757FFA"/>
    <w:pPr>
      <w:spacing w:before="100" w:beforeAutospacing="1" w:after="240"/>
      <w:ind w:left="567" w:hanging="539"/>
      <w:jc w:val="both"/>
    </w:pPr>
    <w:rPr>
      <w:rFonts w:ascii="Times New Roman" w:eastAsia="Times New Roman" w:hAnsi="Times New Roman"/>
      <w:sz w:val="24"/>
      <w:szCs w:val="24"/>
      <w:lang w:eastAsia="en-GB"/>
    </w:rPr>
  </w:style>
  <w:style w:type="paragraph" w:customStyle="1" w:styleId="c01pointaltn">
    <w:name w:val="c01pointaltn"/>
    <w:basedOn w:val="Normal"/>
    <w:rsid w:val="00757FFA"/>
    <w:pPr>
      <w:spacing w:before="100" w:beforeAutospacing="1" w:after="240"/>
      <w:ind w:left="567"/>
      <w:jc w:val="both"/>
    </w:pPr>
    <w:rPr>
      <w:rFonts w:ascii="Times New Roman" w:eastAsia="Times New Roman" w:hAnsi="Times New Roman"/>
      <w:sz w:val="24"/>
      <w:szCs w:val="24"/>
      <w:lang w:eastAsia="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12FF6"/>
  </w:style>
  <w:style w:type="paragraph" w:styleId="CommentSubject">
    <w:name w:val="annotation subject"/>
    <w:basedOn w:val="CommentText"/>
    <w:next w:val="CommentText"/>
    <w:link w:val="CommentSubjectChar"/>
    <w:semiHidden/>
    <w:unhideWhenUsed/>
    <w:rsid w:val="00293C96"/>
    <w:rPr>
      <w:b/>
      <w:bCs/>
    </w:rPr>
  </w:style>
  <w:style w:type="character" w:customStyle="1" w:styleId="CommentSubjectChar">
    <w:name w:val="Comment Subject Char"/>
    <w:basedOn w:val="CommentTextChar"/>
    <w:link w:val="CommentSubject"/>
    <w:semiHidden/>
    <w:rsid w:val="00293C96"/>
    <w:rPr>
      <w:b/>
      <w:bCs/>
      <w:sz w:val="20"/>
      <w:szCs w:val="20"/>
    </w:rPr>
  </w:style>
  <w:style w:type="character" w:styleId="UnresolvedMention">
    <w:name w:val="Unresolved Mention"/>
    <w:basedOn w:val="DefaultParagraphFont"/>
    <w:uiPriority w:val="99"/>
    <w:semiHidden/>
    <w:unhideWhenUsed/>
    <w:rsid w:val="00A9447C"/>
    <w:rPr>
      <w:color w:val="605E5C"/>
      <w:shd w:val="clear" w:color="auto" w:fill="E1DFDD"/>
    </w:rPr>
  </w:style>
  <w:style w:type="character" w:styleId="FollowedHyperlink">
    <w:name w:val="FollowedHyperlink"/>
    <w:basedOn w:val="DefaultParagraphFont"/>
    <w:semiHidden/>
    <w:unhideWhenUsed/>
    <w:rsid w:val="005A086D"/>
    <w:rPr>
      <w:color w:val="800080" w:themeColor="followedHyperlink"/>
      <w:u w:val="single"/>
    </w:rPr>
  </w:style>
  <w:style w:type="character" w:customStyle="1" w:styleId="FooterChar">
    <w:name w:val="Footer Char"/>
    <w:basedOn w:val="DefaultParagraphFont"/>
    <w:link w:val="Footer"/>
    <w:uiPriority w:val="99"/>
    <w:rsid w:val="009F2243"/>
  </w:style>
  <w:style w:type="character" w:customStyle="1" w:styleId="FootnoteTextChar">
    <w:name w:val="Footnote Text Char"/>
    <w:basedOn w:val="DefaultParagraphFont"/>
    <w:link w:val="FootnoteText"/>
    <w:uiPriority w:val="99"/>
    <w:semiHidden/>
    <w:rsid w:val="008005D8"/>
  </w:style>
  <w:style w:type="character" w:customStyle="1" w:styleId="Heading1Char">
    <w:name w:val="Heading 1 Char"/>
    <w:basedOn w:val="DefaultParagraphFont"/>
    <w:link w:val="Heading1"/>
    <w:rsid w:val="00515311"/>
    <w:rPr>
      <w:lang w:val="en-GB"/>
    </w:rPr>
  </w:style>
  <w:style w:type="paragraph" w:customStyle="1" w:styleId="Default">
    <w:name w:val="Default"/>
    <w:rsid w:val="00F47A5C"/>
    <w:pPr>
      <w:autoSpaceDE w:val="0"/>
      <w:autoSpaceDN w:val="0"/>
      <w:adjustRightInd w:val="0"/>
    </w:pPr>
    <w:rPr>
      <w:rFonts w:ascii="Verdana" w:hAnsi="Verdana" w:cs="Verdana"/>
      <w:color w:val="000000"/>
      <w:sz w:val="24"/>
      <w:szCs w:val="24"/>
      <w:lang w:val="en-GB"/>
    </w:rPr>
  </w:style>
  <w:style w:type="character" w:customStyle="1" w:styleId="BodyText2Char">
    <w:name w:val="Body Text 2 Char"/>
    <w:basedOn w:val="DefaultParagraphFont"/>
    <w:link w:val="BodyText2"/>
    <w:uiPriority w:val="99"/>
    <w:rsid w:val="00A23B4B"/>
    <w:rPr>
      <w:lang w:val="en-GB"/>
    </w:rPr>
  </w:style>
  <w:style w:type="character" w:customStyle="1" w:styleId="BodyTextChar">
    <w:name w:val="Body Text Char"/>
    <w:basedOn w:val="DefaultParagraphFont"/>
    <w:link w:val="BodyText"/>
    <w:rsid w:val="00BC5EE9"/>
    <w:rPr>
      <w:lang w:val="en-GB"/>
    </w:rPr>
  </w:style>
  <w:style w:type="character" w:customStyle="1" w:styleId="cf01">
    <w:name w:val="cf01"/>
    <w:basedOn w:val="DefaultParagraphFont"/>
    <w:rsid w:val="00F424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9780">
      <w:bodyDiv w:val="1"/>
      <w:marLeft w:val="0"/>
      <w:marRight w:val="0"/>
      <w:marTop w:val="0"/>
      <w:marBottom w:val="0"/>
      <w:divBdr>
        <w:top w:val="none" w:sz="0" w:space="0" w:color="auto"/>
        <w:left w:val="none" w:sz="0" w:space="0" w:color="auto"/>
        <w:bottom w:val="none" w:sz="0" w:space="0" w:color="auto"/>
        <w:right w:val="none" w:sz="0" w:space="0" w:color="auto"/>
      </w:divBdr>
    </w:div>
    <w:div w:id="111756361">
      <w:bodyDiv w:val="1"/>
      <w:marLeft w:val="0"/>
      <w:marRight w:val="0"/>
      <w:marTop w:val="0"/>
      <w:marBottom w:val="0"/>
      <w:divBdr>
        <w:top w:val="none" w:sz="0" w:space="0" w:color="auto"/>
        <w:left w:val="none" w:sz="0" w:space="0" w:color="auto"/>
        <w:bottom w:val="none" w:sz="0" w:space="0" w:color="auto"/>
        <w:right w:val="none" w:sz="0" w:space="0" w:color="auto"/>
      </w:divBdr>
      <w:divsChild>
        <w:div w:id="769589348">
          <w:marLeft w:val="600"/>
          <w:marRight w:val="0"/>
          <w:marTop w:val="0"/>
          <w:marBottom w:val="0"/>
          <w:divBdr>
            <w:top w:val="none" w:sz="0" w:space="0" w:color="auto"/>
            <w:left w:val="none" w:sz="0" w:space="0" w:color="auto"/>
            <w:bottom w:val="none" w:sz="0" w:space="0" w:color="auto"/>
            <w:right w:val="none" w:sz="0" w:space="0" w:color="auto"/>
          </w:divBdr>
        </w:div>
        <w:div w:id="2129204339">
          <w:marLeft w:val="600"/>
          <w:marRight w:val="0"/>
          <w:marTop w:val="0"/>
          <w:marBottom w:val="0"/>
          <w:divBdr>
            <w:top w:val="none" w:sz="0" w:space="0" w:color="auto"/>
            <w:left w:val="none" w:sz="0" w:space="0" w:color="auto"/>
            <w:bottom w:val="none" w:sz="0" w:space="0" w:color="auto"/>
            <w:right w:val="none" w:sz="0" w:space="0" w:color="auto"/>
          </w:divBdr>
        </w:div>
      </w:divsChild>
    </w:div>
    <w:div w:id="200679758">
      <w:bodyDiv w:val="1"/>
      <w:marLeft w:val="0"/>
      <w:marRight w:val="0"/>
      <w:marTop w:val="0"/>
      <w:marBottom w:val="0"/>
      <w:divBdr>
        <w:top w:val="none" w:sz="0" w:space="0" w:color="auto"/>
        <w:left w:val="none" w:sz="0" w:space="0" w:color="auto"/>
        <w:bottom w:val="none" w:sz="0" w:space="0" w:color="auto"/>
        <w:right w:val="none" w:sz="0" w:space="0" w:color="auto"/>
      </w:divBdr>
    </w:div>
    <w:div w:id="251358336">
      <w:bodyDiv w:val="1"/>
      <w:marLeft w:val="0"/>
      <w:marRight w:val="0"/>
      <w:marTop w:val="0"/>
      <w:marBottom w:val="0"/>
      <w:divBdr>
        <w:top w:val="none" w:sz="0" w:space="0" w:color="auto"/>
        <w:left w:val="none" w:sz="0" w:space="0" w:color="auto"/>
        <w:bottom w:val="none" w:sz="0" w:space="0" w:color="auto"/>
        <w:right w:val="none" w:sz="0" w:space="0" w:color="auto"/>
      </w:divBdr>
    </w:div>
    <w:div w:id="314797283">
      <w:bodyDiv w:val="1"/>
      <w:marLeft w:val="0"/>
      <w:marRight w:val="0"/>
      <w:marTop w:val="0"/>
      <w:marBottom w:val="0"/>
      <w:divBdr>
        <w:top w:val="none" w:sz="0" w:space="0" w:color="auto"/>
        <w:left w:val="none" w:sz="0" w:space="0" w:color="auto"/>
        <w:bottom w:val="none" w:sz="0" w:space="0" w:color="auto"/>
        <w:right w:val="none" w:sz="0" w:space="0" w:color="auto"/>
      </w:divBdr>
    </w:div>
    <w:div w:id="338166302">
      <w:bodyDiv w:val="1"/>
      <w:marLeft w:val="0"/>
      <w:marRight w:val="0"/>
      <w:marTop w:val="0"/>
      <w:marBottom w:val="0"/>
      <w:divBdr>
        <w:top w:val="none" w:sz="0" w:space="0" w:color="auto"/>
        <w:left w:val="none" w:sz="0" w:space="0" w:color="auto"/>
        <w:bottom w:val="none" w:sz="0" w:space="0" w:color="auto"/>
        <w:right w:val="none" w:sz="0" w:space="0" w:color="auto"/>
      </w:divBdr>
      <w:divsChild>
        <w:div w:id="791438433">
          <w:marLeft w:val="300"/>
          <w:marRight w:val="0"/>
          <w:marTop w:val="0"/>
          <w:marBottom w:val="0"/>
          <w:divBdr>
            <w:top w:val="none" w:sz="0" w:space="0" w:color="auto"/>
            <w:left w:val="none" w:sz="0" w:space="0" w:color="auto"/>
            <w:bottom w:val="none" w:sz="0" w:space="0" w:color="auto"/>
            <w:right w:val="none" w:sz="0" w:space="0" w:color="auto"/>
          </w:divBdr>
        </w:div>
      </w:divsChild>
    </w:div>
    <w:div w:id="404570619">
      <w:bodyDiv w:val="1"/>
      <w:marLeft w:val="0"/>
      <w:marRight w:val="0"/>
      <w:marTop w:val="0"/>
      <w:marBottom w:val="0"/>
      <w:divBdr>
        <w:top w:val="none" w:sz="0" w:space="0" w:color="auto"/>
        <w:left w:val="none" w:sz="0" w:space="0" w:color="auto"/>
        <w:bottom w:val="none" w:sz="0" w:space="0" w:color="auto"/>
        <w:right w:val="none" w:sz="0" w:space="0" w:color="auto"/>
      </w:divBdr>
      <w:divsChild>
        <w:div w:id="239994571">
          <w:marLeft w:val="0"/>
          <w:marRight w:val="0"/>
          <w:marTop w:val="0"/>
          <w:marBottom w:val="0"/>
          <w:divBdr>
            <w:top w:val="none" w:sz="0" w:space="0" w:color="auto"/>
            <w:left w:val="none" w:sz="0" w:space="0" w:color="auto"/>
            <w:bottom w:val="none" w:sz="0" w:space="0" w:color="auto"/>
            <w:right w:val="none" w:sz="0" w:space="0" w:color="auto"/>
          </w:divBdr>
          <w:divsChild>
            <w:div w:id="1032266291">
              <w:marLeft w:val="0"/>
              <w:marRight w:val="0"/>
              <w:marTop w:val="0"/>
              <w:marBottom w:val="0"/>
              <w:divBdr>
                <w:top w:val="none" w:sz="0" w:space="0" w:color="auto"/>
                <w:left w:val="none" w:sz="0" w:space="0" w:color="auto"/>
                <w:bottom w:val="none" w:sz="0" w:space="0" w:color="auto"/>
                <w:right w:val="none" w:sz="0" w:space="0" w:color="auto"/>
              </w:divBdr>
            </w:div>
          </w:divsChild>
        </w:div>
        <w:div w:id="1529223037">
          <w:marLeft w:val="0"/>
          <w:marRight w:val="0"/>
          <w:marTop w:val="0"/>
          <w:marBottom w:val="0"/>
          <w:divBdr>
            <w:top w:val="none" w:sz="0" w:space="0" w:color="auto"/>
            <w:left w:val="none" w:sz="0" w:space="0" w:color="auto"/>
            <w:bottom w:val="none" w:sz="0" w:space="0" w:color="auto"/>
            <w:right w:val="none" w:sz="0" w:space="0" w:color="auto"/>
          </w:divBdr>
          <w:divsChild>
            <w:div w:id="256792611">
              <w:marLeft w:val="0"/>
              <w:marRight w:val="0"/>
              <w:marTop w:val="0"/>
              <w:marBottom w:val="0"/>
              <w:divBdr>
                <w:top w:val="none" w:sz="0" w:space="0" w:color="auto"/>
                <w:left w:val="none" w:sz="0" w:space="0" w:color="auto"/>
                <w:bottom w:val="none" w:sz="0" w:space="0" w:color="auto"/>
                <w:right w:val="none" w:sz="0" w:space="0" w:color="auto"/>
              </w:divBdr>
              <w:divsChild>
                <w:div w:id="415908639">
                  <w:marLeft w:val="0"/>
                  <w:marRight w:val="0"/>
                  <w:marTop w:val="0"/>
                  <w:marBottom w:val="300"/>
                  <w:divBdr>
                    <w:top w:val="none" w:sz="0" w:space="0" w:color="auto"/>
                    <w:left w:val="none" w:sz="0" w:space="0" w:color="auto"/>
                    <w:bottom w:val="none" w:sz="0" w:space="0" w:color="auto"/>
                    <w:right w:val="none" w:sz="0" w:space="0" w:color="auto"/>
                  </w:divBdr>
                  <w:divsChild>
                    <w:div w:id="696927564">
                      <w:marLeft w:val="0"/>
                      <w:marRight w:val="0"/>
                      <w:marTop w:val="0"/>
                      <w:marBottom w:val="0"/>
                      <w:divBdr>
                        <w:top w:val="none" w:sz="0" w:space="0" w:color="auto"/>
                        <w:left w:val="none" w:sz="0" w:space="0" w:color="auto"/>
                        <w:bottom w:val="none" w:sz="0" w:space="0" w:color="auto"/>
                        <w:right w:val="none" w:sz="0" w:space="0" w:color="auto"/>
                      </w:divBdr>
                      <w:divsChild>
                        <w:div w:id="662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1108">
      <w:bodyDiv w:val="1"/>
      <w:marLeft w:val="0"/>
      <w:marRight w:val="0"/>
      <w:marTop w:val="0"/>
      <w:marBottom w:val="0"/>
      <w:divBdr>
        <w:top w:val="none" w:sz="0" w:space="0" w:color="auto"/>
        <w:left w:val="none" w:sz="0" w:space="0" w:color="auto"/>
        <w:bottom w:val="none" w:sz="0" w:space="0" w:color="auto"/>
        <w:right w:val="none" w:sz="0" w:space="0" w:color="auto"/>
      </w:divBdr>
    </w:div>
    <w:div w:id="462038686">
      <w:bodyDiv w:val="1"/>
      <w:marLeft w:val="0"/>
      <w:marRight w:val="0"/>
      <w:marTop w:val="0"/>
      <w:marBottom w:val="0"/>
      <w:divBdr>
        <w:top w:val="none" w:sz="0" w:space="0" w:color="auto"/>
        <w:left w:val="none" w:sz="0" w:space="0" w:color="auto"/>
        <w:bottom w:val="none" w:sz="0" w:space="0" w:color="auto"/>
        <w:right w:val="none" w:sz="0" w:space="0" w:color="auto"/>
      </w:divBdr>
    </w:div>
    <w:div w:id="467016589">
      <w:bodyDiv w:val="1"/>
      <w:marLeft w:val="0"/>
      <w:marRight w:val="0"/>
      <w:marTop w:val="0"/>
      <w:marBottom w:val="0"/>
      <w:divBdr>
        <w:top w:val="none" w:sz="0" w:space="0" w:color="auto"/>
        <w:left w:val="none" w:sz="0" w:space="0" w:color="auto"/>
        <w:bottom w:val="none" w:sz="0" w:space="0" w:color="auto"/>
        <w:right w:val="none" w:sz="0" w:space="0" w:color="auto"/>
      </w:divBdr>
    </w:div>
    <w:div w:id="542326466">
      <w:bodyDiv w:val="1"/>
      <w:marLeft w:val="0"/>
      <w:marRight w:val="0"/>
      <w:marTop w:val="0"/>
      <w:marBottom w:val="0"/>
      <w:divBdr>
        <w:top w:val="none" w:sz="0" w:space="0" w:color="auto"/>
        <w:left w:val="none" w:sz="0" w:space="0" w:color="auto"/>
        <w:bottom w:val="none" w:sz="0" w:space="0" w:color="auto"/>
        <w:right w:val="none" w:sz="0" w:space="0" w:color="auto"/>
      </w:divBdr>
      <w:divsChild>
        <w:div w:id="520047502">
          <w:marLeft w:val="300"/>
          <w:marRight w:val="0"/>
          <w:marTop w:val="0"/>
          <w:marBottom w:val="0"/>
          <w:divBdr>
            <w:top w:val="none" w:sz="0" w:space="0" w:color="auto"/>
            <w:left w:val="none" w:sz="0" w:space="0" w:color="auto"/>
            <w:bottom w:val="none" w:sz="0" w:space="0" w:color="auto"/>
            <w:right w:val="none" w:sz="0" w:space="0" w:color="auto"/>
          </w:divBdr>
        </w:div>
      </w:divsChild>
    </w:div>
    <w:div w:id="551500828">
      <w:bodyDiv w:val="1"/>
      <w:marLeft w:val="0"/>
      <w:marRight w:val="0"/>
      <w:marTop w:val="0"/>
      <w:marBottom w:val="0"/>
      <w:divBdr>
        <w:top w:val="none" w:sz="0" w:space="0" w:color="auto"/>
        <w:left w:val="none" w:sz="0" w:space="0" w:color="auto"/>
        <w:bottom w:val="none" w:sz="0" w:space="0" w:color="auto"/>
        <w:right w:val="none" w:sz="0" w:space="0" w:color="auto"/>
      </w:divBdr>
    </w:div>
    <w:div w:id="568269197">
      <w:bodyDiv w:val="1"/>
      <w:marLeft w:val="0"/>
      <w:marRight w:val="0"/>
      <w:marTop w:val="0"/>
      <w:marBottom w:val="0"/>
      <w:divBdr>
        <w:top w:val="none" w:sz="0" w:space="0" w:color="auto"/>
        <w:left w:val="none" w:sz="0" w:space="0" w:color="auto"/>
        <w:bottom w:val="none" w:sz="0" w:space="0" w:color="auto"/>
        <w:right w:val="none" w:sz="0" w:space="0" w:color="auto"/>
      </w:divBdr>
    </w:div>
    <w:div w:id="599683885">
      <w:bodyDiv w:val="1"/>
      <w:marLeft w:val="0"/>
      <w:marRight w:val="0"/>
      <w:marTop w:val="0"/>
      <w:marBottom w:val="0"/>
      <w:divBdr>
        <w:top w:val="none" w:sz="0" w:space="0" w:color="auto"/>
        <w:left w:val="none" w:sz="0" w:space="0" w:color="auto"/>
        <w:bottom w:val="none" w:sz="0" w:space="0" w:color="auto"/>
        <w:right w:val="none" w:sz="0" w:space="0" w:color="auto"/>
      </w:divBdr>
      <w:divsChild>
        <w:div w:id="1876458548">
          <w:marLeft w:val="0"/>
          <w:marRight w:val="0"/>
          <w:marTop w:val="0"/>
          <w:marBottom w:val="0"/>
          <w:divBdr>
            <w:top w:val="none" w:sz="0" w:space="0" w:color="auto"/>
            <w:left w:val="none" w:sz="0" w:space="0" w:color="auto"/>
            <w:bottom w:val="none" w:sz="0" w:space="0" w:color="auto"/>
            <w:right w:val="none" w:sz="0" w:space="0" w:color="auto"/>
          </w:divBdr>
        </w:div>
        <w:div w:id="2006321774">
          <w:marLeft w:val="0"/>
          <w:marRight w:val="0"/>
          <w:marTop w:val="0"/>
          <w:marBottom w:val="0"/>
          <w:divBdr>
            <w:top w:val="none" w:sz="0" w:space="0" w:color="auto"/>
            <w:left w:val="none" w:sz="0" w:space="0" w:color="auto"/>
            <w:bottom w:val="none" w:sz="0" w:space="0" w:color="auto"/>
            <w:right w:val="none" w:sz="0" w:space="0" w:color="auto"/>
          </w:divBdr>
        </w:div>
      </w:divsChild>
    </w:div>
    <w:div w:id="653263764">
      <w:bodyDiv w:val="1"/>
      <w:marLeft w:val="0"/>
      <w:marRight w:val="0"/>
      <w:marTop w:val="0"/>
      <w:marBottom w:val="0"/>
      <w:divBdr>
        <w:top w:val="none" w:sz="0" w:space="0" w:color="auto"/>
        <w:left w:val="none" w:sz="0" w:space="0" w:color="auto"/>
        <w:bottom w:val="none" w:sz="0" w:space="0" w:color="auto"/>
        <w:right w:val="none" w:sz="0" w:space="0" w:color="auto"/>
      </w:divBdr>
    </w:div>
    <w:div w:id="858474137">
      <w:bodyDiv w:val="1"/>
      <w:marLeft w:val="0"/>
      <w:marRight w:val="0"/>
      <w:marTop w:val="0"/>
      <w:marBottom w:val="0"/>
      <w:divBdr>
        <w:top w:val="none" w:sz="0" w:space="0" w:color="auto"/>
        <w:left w:val="none" w:sz="0" w:space="0" w:color="auto"/>
        <w:bottom w:val="none" w:sz="0" w:space="0" w:color="auto"/>
        <w:right w:val="none" w:sz="0" w:space="0" w:color="auto"/>
      </w:divBdr>
      <w:divsChild>
        <w:div w:id="1147892567">
          <w:marLeft w:val="0"/>
          <w:marRight w:val="0"/>
          <w:marTop w:val="0"/>
          <w:marBottom w:val="0"/>
          <w:divBdr>
            <w:top w:val="none" w:sz="0" w:space="0" w:color="auto"/>
            <w:left w:val="none" w:sz="0" w:space="0" w:color="auto"/>
            <w:bottom w:val="none" w:sz="0" w:space="0" w:color="auto"/>
            <w:right w:val="none" w:sz="0" w:space="0" w:color="auto"/>
          </w:divBdr>
          <w:divsChild>
            <w:div w:id="2074694880">
              <w:marLeft w:val="0"/>
              <w:marRight w:val="0"/>
              <w:marTop w:val="0"/>
              <w:marBottom w:val="0"/>
              <w:divBdr>
                <w:top w:val="none" w:sz="0" w:space="0" w:color="auto"/>
                <w:left w:val="none" w:sz="0" w:space="0" w:color="auto"/>
                <w:bottom w:val="none" w:sz="0" w:space="0" w:color="auto"/>
                <w:right w:val="none" w:sz="0" w:space="0" w:color="auto"/>
              </w:divBdr>
              <w:divsChild>
                <w:div w:id="1689718398">
                  <w:marLeft w:val="0"/>
                  <w:marRight w:val="0"/>
                  <w:marTop w:val="0"/>
                  <w:marBottom w:val="0"/>
                  <w:divBdr>
                    <w:top w:val="none" w:sz="0" w:space="0" w:color="auto"/>
                    <w:left w:val="none" w:sz="0" w:space="0" w:color="auto"/>
                    <w:bottom w:val="none" w:sz="0" w:space="0" w:color="auto"/>
                    <w:right w:val="none" w:sz="0" w:space="0" w:color="auto"/>
                  </w:divBdr>
                  <w:divsChild>
                    <w:div w:id="3291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6457">
      <w:bodyDiv w:val="1"/>
      <w:marLeft w:val="0"/>
      <w:marRight w:val="0"/>
      <w:marTop w:val="0"/>
      <w:marBottom w:val="0"/>
      <w:divBdr>
        <w:top w:val="none" w:sz="0" w:space="0" w:color="auto"/>
        <w:left w:val="none" w:sz="0" w:space="0" w:color="auto"/>
        <w:bottom w:val="none" w:sz="0" w:space="0" w:color="auto"/>
        <w:right w:val="none" w:sz="0" w:space="0" w:color="auto"/>
      </w:divBdr>
      <w:divsChild>
        <w:div w:id="1340041309">
          <w:marLeft w:val="0"/>
          <w:marRight w:val="0"/>
          <w:marTop w:val="0"/>
          <w:marBottom w:val="0"/>
          <w:divBdr>
            <w:top w:val="none" w:sz="0" w:space="0" w:color="auto"/>
            <w:left w:val="none" w:sz="0" w:space="0" w:color="auto"/>
            <w:bottom w:val="none" w:sz="0" w:space="0" w:color="auto"/>
            <w:right w:val="none" w:sz="0" w:space="0" w:color="auto"/>
          </w:divBdr>
        </w:div>
        <w:div w:id="1652708589">
          <w:marLeft w:val="0"/>
          <w:marRight w:val="0"/>
          <w:marTop w:val="0"/>
          <w:marBottom w:val="0"/>
          <w:divBdr>
            <w:top w:val="none" w:sz="0" w:space="0" w:color="auto"/>
            <w:left w:val="none" w:sz="0" w:space="0" w:color="auto"/>
            <w:bottom w:val="none" w:sz="0" w:space="0" w:color="auto"/>
            <w:right w:val="none" w:sz="0" w:space="0" w:color="auto"/>
          </w:divBdr>
        </w:div>
      </w:divsChild>
    </w:div>
    <w:div w:id="933442476">
      <w:bodyDiv w:val="1"/>
      <w:marLeft w:val="0"/>
      <w:marRight w:val="0"/>
      <w:marTop w:val="0"/>
      <w:marBottom w:val="0"/>
      <w:divBdr>
        <w:top w:val="none" w:sz="0" w:space="0" w:color="auto"/>
        <w:left w:val="none" w:sz="0" w:space="0" w:color="auto"/>
        <w:bottom w:val="none" w:sz="0" w:space="0" w:color="auto"/>
        <w:right w:val="none" w:sz="0" w:space="0" w:color="auto"/>
      </w:divBdr>
    </w:div>
    <w:div w:id="942690106">
      <w:bodyDiv w:val="1"/>
      <w:marLeft w:val="0"/>
      <w:marRight w:val="0"/>
      <w:marTop w:val="0"/>
      <w:marBottom w:val="0"/>
      <w:divBdr>
        <w:top w:val="none" w:sz="0" w:space="0" w:color="auto"/>
        <w:left w:val="none" w:sz="0" w:space="0" w:color="auto"/>
        <w:bottom w:val="none" w:sz="0" w:space="0" w:color="auto"/>
        <w:right w:val="none" w:sz="0" w:space="0" w:color="auto"/>
      </w:divBdr>
    </w:div>
    <w:div w:id="946616112">
      <w:bodyDiv w:val="1"/>
      <w:marLeft w:val="0"/>
      <w:marRight w:val="0"/>
      <w:marTop w:val="0"/>
      <w:marBottom w:val="0"/>
      <w:divBdr>
        <w:top w:val="none" w:sz="0" w:space="0" w:color="auto"/>
        <w:left w:val="none" w:sz="0" w:space="0" w:color="auto"/>
        <w:bottom w:val="none" w:sz="0" w:space="0" w:color="auto"/>
        <w:right w:val="none" w:sz="0" w:space="0" w:color="auto"/>
      </w:divBdr>
    </w:div>
    <w:div w:id="978463435">
      <w:bodyDiv w:val="1"/>
      <w:marLeft w:val="0"/>
      <w:marRight w:val="0"/>
      <w:marTop w:val="0"/>
      <w:marBottom w:val="0"/>
      <w:divBdr>
        <w:top w:val="none" w:sz="0" w:space="0" w:color="auto"/>
        <w:left w:val="none" w:sz="0" w:space="0" w:color="auto"/>
        <w:bottom w:val="none" w:sz="0" w:space="0" w:color="auto"/>
        <w:right w:val="none" w:sz="0" w:space="0" w:color="auto"/>
      </w:divBdr>
    </w:div>
    <w:div w:id="1001542999">
      <w:bodyDiv w:val="1"/>
      <w:marLeft w:val="0"/>
      <w:marRight w:val="0"/>
      <w:marTop w:val="0"/>
      <w:marBottom w:val="0"/>
      <w:divBdr>
        <w:top w:val="none" w:sz="0" w:space="0" w:color="auto"/>
        <w:left w:val="none" w:sz="0" w:space="0" w:color="auto"/>
        <w:bottom w:val="none" w:sz="0" w:space="0" w:color="auto"/>
        <w:right w:val="none" w:sz="0" w:space="0" w:color="auto"/>
      </w:divBdr>
    </w:div>
    <w:div w:id="1122771611">
      <w:bodyDiv w:val="1"/>
      <w:marLeft w:val="0"/>
      <w:marRight w:val="0"/>
      <w:marTop w:val="0"/>
      <w:marBottom w:val="0"/>
      <w:divBdr>
        <w:top w:val="none" w:sz="0" w:space="0" w:color="auto"/>
        <w:left w:val="none" w:sz="0" w:space="0" w:color="auto"/>
        <w:bottom w:val="none" w:sz="0" w:space="0" w:color="auto"/>
        <w:right w:val="none" w:sz="0" w:space="0" w:color="auto"/>
      </w:divBdr>
    </w:div>
    <w:div w:id="1247299097">
      <w:bodyDiv w:val="1"/>
      <w:marLeft w:val="0"/>
      <w:marRight w:val="0"/>
      <w:marTop w:val="0"/>
      <w:marBottom w:val="0"/>
      <w:divBdr>
        <w:top w:val="none" w:sz="0" w:space="0" w:color="auto"/>
        <w:left w:val="none" w:sz="0" w:space="0" w:color="auto"/>
        <w:bottom w:val="none" w:sz="0" w:space="0" w:color="auto"/>
        <w:right w:val="none" w:sz="0" w:space="0" w:color="auto"/>
      </w:divBdr>
    </w:div>
    <w:div w:id="1392070615">
      <w:bodyDiv w:val="1"/>
      <w:marLeft w:val="0"/>
      <w:marRight w:val="0"/>
      <w:marTop w:val="0"/>
      <w:marBottom w:val="0"/>
      <w:divBdr>
        <w:top w:val="none" w:sz="0" w:space="0" w:color="auto"/>
        <w:left w:val="none" w:sz="0" w:space="0" w:color="auto"/>
        <w:bottom w:val="none" w:sz="0" w:space="0" w:color="auto"/>
        <w:right w:val="none" w:sz="0" w:space="0" w:color="auto"/>
      </w:divBdr>
    </w:div>
    <w:div w:id="1414817798">
      <w:bodyDiv w:val="1"/>
      <w:marLeft w:val="0"/>
      <w:marRight w:val="0"/>
      <w:marTop w:val="0"/>
      <w:marBottom w:val="0"/>
      <w:divBdr>
        <w:top w:val="none" w:sz="0" w:space="0" w:color="auto"/>
        <w:left w:val="none" w:sz="0" w:space="0" w:color="auto"/>
        <w:bottom w:val="none" w:sz="0" w:space="0" w:color="auto"/>
        <w:right w:val="none" w:sz="0" w:space="0" w:color="auto"/>
      </w:divBdr>
    </w:div>
    <w:div w:id="1474560648">
      <w:bodyDiv w:val="1"/>
      <w:marLeft w:val="0"/>
      <w:marRight w:val="0"/>
      <w:marTop w:val="0"/>
      <w:marBottom w:val="0"/>
      <w:divBdr>
        <w:top w:val="none" w:sz="0" w:space="0" w:color="auto"/>
        <w:left w:val="none" w:sz="0" w:space="0" w:color="auto"/>
        <w:bottom w:val="none" w:sz="0" w:space="0" w:color="auto"/>
        <w:right w:val="none" w:sz="0" w:space="0" w:color="auto"/>
      </w:divBdr>
    </w:div>
    <w:div w:id="1532378339">
      <w:bodyDiv w:val="1"/>
      <w:marLeft w:val="0"/>
      <w:marRight w:val="0"/>
      <w:marTop w:val="0"/>
      <w:marBottom w:val="0"/>
      <w:divBdr>
        <w:top w:val="none" w:sz="0" w:space="0" w:color="auto"/>
        <w:left w:val="none" w:sz="0" w:space="0" w:color="auto"/>
        <w:bottom w:val="none" w:sz="0" w:space="0" w:color="auto"/>
        <w:right w:val="none" w:sz="0" w:space="0" w:color="auto"/>
      </w:divBdr>
    </w:div>
    <w:div w:id="1535382235">
      <w:bodyDiv w:val="1"/>
      <w:marLeft w:val="0"/>
      <w:marRight w:val="0"/>
      <w:marTop w:val="0"/>
      <w:marBottom w:val="0"/>
      <w:divBdr>
        <w:top w:val="none" w:sz="0" w:space="0" w:color="auto"/>
        <w:left w:val="none" w:sz="0" w:space="0" w:color="auto"/>
        <w:bottom w:val="none" w:sz="0" w:space="0" w:color="auto"/>
        <w:right w:val="none" w:sz="0" w:space="0" w:color="auto"/>
      </w:divBdr>
    </w:div>
    <w:div w:id="1625841830">
      <w:bodyDiv w:val="1"/>
      <w:marLeft w:val="0"/>
      <w:marRight w:val="0"/>
      <w:marTop w:val="0"/>
      <w:marBottom w:val="0"/>
      <w:divBdr>
        <w:top w:val="none" w:sz="0" w:space="0" w:color="auto"/>
        <w:left w:val="none" w:sz="0" w:space="0" w:color="auto"/>
        <w:bottom w:val="none" w:sz="0" w:space="0" w:color="auto"/>
        <w:right w:val="none" w:sz="0" w:space="0" w:color="auto"/>
      </w:divBdr>
    </w:div>
    <w:div w:id="1667899803">
      <w:bodyDiv w:val="1"/>
      <w:marLeft w:val="0"/>
      <w:marRight w:val="0"/>
      <w:marTop w:val="0"/>
      <w:marBottom w:val="0"/>
      <w:divBdr>
        <w:top w:val="none" w:sz="0" w:space="0" w:color="auto"/>
        <w:left w:val="none" w:sz="0" w:space="0" w:color="auto"/>
        <w:bottom w:val="none" w:sz="0" w:space="0" w:color="auto"/>
        <w:right w:val="none" w:sz="0" w:space="0" w:color="auto"/>
      </w:divBdr>
    </w:div>
    <w:div w:id="1770347610">
      <w:bodyDiv w:val="1"/>
      <w:marLeft w:val="0"/>
      <w:marRight w:val="0"/>
      <w:marTop w:val="0"/>
      <w:marBottom w:val="0"/>
      <w:divBdr>
        <w:top w:val="none" w:sz="0" w:space="0" w:color="auto"/>
        <w:left w:val="none" w:sz="0" w:space="0" w:color="auto"/>
        <w:bottom w:val="none" w:sz="0" w:space="0" w:color="auto"/>
        <w:right w:val="none" w:sz="0" w:space="0" w:color="auto"/>
      </w:divBdr>
    </w:div>
    <w:div w:id="1876623734">
      <w:bodyDiv w:val="1"/>
      <w:marLeft w:val="0"/>
      <w:marRight w:val="0"/>
      <w:marTop w:val="0"/>
      <w:marBottom w:val="0"/>
      <w:divBdr>
        <w:top w:val="none" w:sz="0" w:space="0" w:color="auto"/>
        <w:left w:val="none" w:sz="0" w:space="0" w:color="auto"/>
        <w:bottom w:val="none" w:sz="0" w:space="0" w:color="auto"/>
        <w:right w:val="none" w:sz="0" w:space="0" w:color="auto"/>
      </w:divBdr>
    </w:div>
    <w:div w:id="1887567963">
      <w:bodyDiv w:val="1"/>
      <w:marLeft w:val="0"/>
      <w:marRight w:val="0"/>
      <w:marTop w:val="0"/>
      <w:marBottom w:val="0"/>
      <w:divBdr>
        <w:top w:val="none" w:sz="0" w:space="0" w:color="auto"/>
        <w:left w:val="none" w:sz="0" w:space="0" w:color="auto"/>
        <w:bottom w:val="none" w:sz="0" w:space="0" w:color="auto"/>
        <w:right w:val="none" w:sz="0" w:space="0" w:color="auto"/>
      </w:divBdr>
    </w:div>
    <w:div w:id="1901359272">
      <w:bodyDiv w:val="1"/>
      <w:marLeft w:val="0"/>
      <w:marRight w:val="0"/>
      <w:marTop w:val="0"/>
      <w:marBottom w:val="0"/>
      <w:divBdr>
        <w:top w:val="none" w:sz="0" w:space="0" w:color="auto"/>
        <w:left w:val="none" w:sz="0" w:space="0" w:color="auto"/>
        <w:bottom w:val="none" w:sz="0" w:space="0" w:color="auto"/>
        <w:right w:val="none" w:sz="0" w:space="0" w:color="auto"/>
      </w:divBdr>
    </w:div>
    <w:div w:id="1929381449">
      <w:bodyDiv w:val="1"/>
      <w:marLeft w:val="0"/>
      <w:marRight w:val="0"/>
      <w:marTop w:val="0"/>
      <w:marBottom w:val="0"/>
      <w:divBdr>
        <w:top w:val="none" w:sz="0" w:space="0" w:color="auto"/>
        <w:left w:val="none" w:sz="0" w:space="0" w:color="auto"/>
        <w:bottom w:val="none" w:sz="0" w:space="0" w:color="auto"/>
        <w:right w:val="none" w:sz="0" w:space="0" w:color="auto"/>
      </w:divBdr>
      <w:divsChild>
        <w:div w:id="1377848608">
          <w:marLeft w:val="0"/>
          <w:marRight w:val="0"/>
          <w:marTop w:val="0"/>
          <w:marBottom w:val="0"/>
          <w:divBdr>
            <w:top w:val="none" w:sz="0" w:space="0" w:color="auto"/>
            <w:left w:val="none" w:sz="0" w:space="0" w:color="auto"/>
            <w:bottom w:val="none" w:sz="0" w:space="0" w:color="auto"/>
            <w:right w:val="none" w:sz="0" w:space="0" w:color="auto"/>
          </w:divBdr>
          <w:divsChild>
            <w:div w:id="122702011">
              <w:marLeft w:val="0"/>
              <w:marRight w:val="0"/>
              <w:marTop w:val="0"/>
              <w:marBottom w:val="0"/>
              <w:divBdr>
                <w:top w:val="none" w:sz="0" w:space="0" w:color="auto"/>
                <w:left w:val="none" w:sz="0" w:space="0" w:color="auto"/>
                <w:bottom w:val="none" w:sz="0" w:space="0" w:color="auto"/>
                <w:right w:val="none" w:sz="0" w:space="0" w:color="auto"/>
              </w:divBdr>
              <w:divsChild>
                <w:div w:id="1146047377">
                  <w:marLeft w:val="0"/>
                  <w:marRight w:val="0"/>
                  <w:marTop w:val="0"/>
                  <w:marBottom w:val="300"/>
                  <w:divBdr>
                    <w:top w:val="none" w:sz="0" w:space="0" w:color="auto"/>
                    <w:left w:val="none" w:sz="0" w:space="0" w:color="auto"/>
                    <w:bottom w:val="none" w:sz="0" w:space="0" w:color="auto"/>
                    <w:right w:val="none" w:sz="0" w:space="0" w:color="auto"/>
                  </w:divBdr>
                  <w:divsChild>
                    <w:div w:id="541602511">
                      <w:marLeft w:val="0"/>
                      <w:marRight w:val="0"/>
                      <w:marTop w:val="0"/>
                      <w:marBottom w:val="0"/>
                      <w:divBdr>
                        <w:top w:val="none" w:sz="0" w:space="0" w:color="auto"/>
                        <w:left w:val="none" w:sz="0" w:space="0" w:color="auto"/>
                        <w:bottom w:val="none" w:sz="0" w:space="0" w:color="auto"/>
                        <w:right w:val="none" w:sz="0" w:space="0" w:color="auto"/>
                      </w:divBdr>
                      <w:divsChild>
                        <w:div w:id="20919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64639">
          <w:marLeft w:val="0"/>
          <w:marRight w:val="0"/>
          <w:marTop w:val="0"/>
          <w:marBottom w:val="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5207">
      <w:bodyDiv w:val="1"/>
      <w:marLeft w:val="0"/>
      <w:marRight w:val="0"/>
      <w:marTop w:val="0"/>
      <w:marBottom w:val="0"/>
      <w:divBdr>
        <w:top w:val="none" w:sz="0" w:space="0" w:color="auto"/>
        <w:left w:val="none" w:sz="0" w:space="0" w:color="auto"/>
        <w:bottom w:val="none" w:sz="0" w:space="0" w:color="auto"/>
        <w:right w:val="none" w:sz="0" w:space="0" w:color="auto"/>
      </w:divBdr>
    </w:div>
    <w:div w:id="1989479401">
      <w:bodyDiv w:val="1"/>
      <w:marLeft w:val="0"/>
      <w:marRight w:val="0"/>
      <w:marTop w:val="0"/>
      <w:marBottom w:val="0"/>
      <w:divBdr>
        <w:top w:val="none" w:sz="0" w:space="0" w:color="auto"/>
        <w:left w:val="none" w:sz="0" w:space="0" w:color="auto"/>
        <w:bottom w:val="none" w:sz="0" w:space="0" w:color="auto"/>
        <w:right w:val="none" w:sz="0" w:space="0" w:color="auto"/>
      </w:divBdr>
    </w:div>
    <w:div w:id="2112582591">
      <w:bodyDiv w:val="1"/>
      <w:marLeft w:val="0"/>
      <w:marRight w:val="0"/>
      <w:marTop w:val="0"/>
      <w:marBottom w:val="0"/>
      <w:divBdr>
        <w:top w:val="none" w:sz="0" w:space="0" w:color="auto"/>
        <w:left w:val="none" w:sz="0" w:space="0" w:color="auto"/>
        <w:bottom w:val="none" w:sz="0" w:space="0" w:color="auto"/>
        <w:right w:val="none" w:sz="0" w:space="0" w:color="auto"/>
      </w:divBdr>
      <w:divsChild>
        <w:div w:id="794520253">
          <w:marLeft w:val="600"/>
          <w:marRight w:val="0"/>
          <w:marTop w:val="0"/>
          <w:marBottom w:val="0"/>
          <w:divBdr>
            <w:top w:val="none" w:sz="0" w:space="0" w:color="auto"/>
            <w:left w:val="none" w:sz="0" w:space="0" w:color="auto"/>
            <w:bottom w:val="none" w:sz="0" w:space="0" w:color="auto"/>
            <w:right w:val="none" w:sz="0" w:space="0" w:color="auto"/>
          </w:divBdr>
        </w:div>
        <w:div w:id="1178034094">
          <w:marLeft w:val="6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PDF/?uri=CELEX:02023R1542-20230728" TargetMode="External"/><Relationship Id="rId13" Type="http://schemas.openxmlformats.org/officeDocument/2006/relationships/hyperlink" Target="https://data.consilium.europa.eu/doc/document/ST-13857-2023-ADD-1/en/pdf" TargetMode="External"/><Relationship Id="rId3" Type="http://schemas.openxmlformats.org/officeDocument/2006/relationships/hyperlink" Target="https://royalsocietypublishing.org/doi/10.1098/rstb.2013.0587" TargetMode="External"/><Relationship Id="rId7" Type="http://schemas.openxmlformats.org/officeDocument/2006/relationships/hyperlink" Target="https://eur-lex.europa.eu/legal-content/EN/TXT/PDF/?uri=CELEX:01994L0062-20180704" TargetMode="External"/><Relationship Id="rId12" Type="http://schemas.openxmlformats.org/officeDocument/2006/relationships/hyperlink" Target="https://eur-lex.europa.eu/legal-content/EN/TXT/PDF/?uri=CELEX:32019L0904" TargetMode="External"/><Relationship Id="rId2" Type="http://schemas.openxmlformats.org/officeDocument/2006/relationships/hyperlink" Target="https://www.sciencedirect.com/science/article/pii/S016041202200160X?via%3Dihub" TargetMode="External"/><Relationship Id="rId16" Type="http://schemas.openxmlformats.org/officeDocument/2006/relationships/hyperlink" Target="https://eur-lex.europa.eu/legal-content/EN/TXT/PDF/?uri=CELEX:52019DC0128" TargetMode="External"/><Relationship Id="rId1" Type="http://schemas.openxmlformats.org/officeDocument/2006/relationships/hyperlink" Target="https://www.eca.europa.eu/Lists/ECADocuments/SR21_12/SR_polluter_pays_principle_EN.pdf" TargetMode="External"/><Relationship Id="rId6" Type="http://schemas.openxmlformats.org/officeDocument/2006/relationships/hyperlink" Target="https://eur-lex.europa.eu/legal-content/EN/TXT/PDF/?uri=CELEX:52022SC0541" TargetMode="External"/><Relationship Id="rId11" Type="http://schemas.openxmlformats.org/officeDocument/2006/relationships/hyperlink" Target="https://eur-lex.europa.eu/legal-content/EN/TXT/PDF/?uri=CELEX:02008L0098-20240218" TargetMode="External"/><Relationship Id="rId5" Type="http://schemas.openxmlformats.org/officeDocument/2006/relationships/hyperlink" Target="https://www.ema.europa.eu/en/documents/scientific-guideline/guideline-environmental-risk-assessment-medicinal-products-human-use-revision-1_en.pdf" TargetMode="External"/><Relationship Id="rId15" Type="http://schemas.openxmlformats.org/officeDocument/2006/relationships/hyperlink" Target="https://environment.ec.europa.eu/document/download/fb27e67a-c275-4c47-b570-b3c07f0135e0_en?filename=C_2024_1995_F1_COMMUNICATION_FROM_COMMISSION_EN_V4_P1_3329609.PDF" TargetMode="External"/><Relationship Id="rId10" Type="http://schemas.openxmlformats.org/officeDocument/2006/relationships/hyperlink" Target="https://eur-lex.europa.eu/legal-content/EN/TXT/PDF/?uri=CELEX:02023R1542-20230728" TargetMode="External"/><Relationship Id="rId4" Type="http://schemas.openxmlformats.org/officeDocument/2006/relationships/hyperlink" Target="https://www.sciencedirect.com/science/article/pii/S0160412019309493" TargetMode="External"/><Relationship Id="rId9" Type="http://schemas.openxmlformats.org/officeDocument/2006/relationships/hyperlink" Target="https://eur-lex.europa.eu/legal-content/EN/TXT/PDF/?uri=CELEX:02012L0019-20240408" TargetMode="External"/><Relationship Id="rId14" Type="http://schemas.openxmlformats.org/officeDocument/2006/relationships/hyperlink" Target="https://eur-lex.europa.eu/legal-content/EN/TXT/PDF/?uri=CELEX:02001L0083-2022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 B R ! 8 3 6 1 2 4 . 1 < / d o c u m e n t i d >  
     < s e n d e r i d > G A R C I A M O L Y N E U X C < / s e n d e r i d >  
     < s e n d e r e m a i l > C G A R C I A M O L Y N E U X @ C O V . C O M < / s e n d e r e m a i l >  
     < l a s t m o d i f i e d > 2 0 2 4 - 0 6 - 2 5 T 1 4 : 1 7 : 0 0 . 0 0 0 0 0 0 0 + 0 2 : 0 0 < / l a s t m o d i f i e d >  
     < d a t a b a s e > B R < / 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C05302C30CB94DB85868B54616FF8D" ma:contentTypeVersion="14" ma:contentTypeDescription="Create a new document." ma:contentTypeScope="" ma:versionID="5a8b3e267b0c369d6169899cdea03b96">
  <xsd:schema xmlns:xsd="http://www.w3.org/2001/XMLSchema" xmlns:xs="http://www.w3.org/2001/XMLSchema" xmlns:p="http://schemas.microsoft.com/office/2006/metadata/properties" xmlns:ns2="648e505c-5c28-4588-8bbc-eb42d2dbef2c" xmlns:ns3="9bd9fe73-af3f-4a53-a24d-70f3eaa553bc" targetNamespace="http://schemas.microsoft.com/office/2006/metadata/properties" ma:root="true" ma:fieldsID="a3d7a50e047e90fd57893b7e2c45a9f1" ns2:_="" ns3:_="">
    <xsd:import namespace="648e505c-5c28-4588-8bbc-eb42d2dbef2c"/>
    <xsd:import namespace="9bd9fe73-af3f-4a53-a24d-70f3eaa553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e505c-5c28-4588-8bbc-eb42d2dbe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9c4ec71-7a71-44ca-ae19-7fce7710af3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d9fe73-af3f-4a53-a24d-70f3eaa553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a30a37c-9585-4379-b1e4-4819d7ce5faf}" ma:internalName="TaxCatchAll" ma:showField="CatchAllData" ma:web="9bd9fe73-af3f-4a53-a24d-70f3eaa55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126D2-9651-4372-9014-20ACF05B190D}">
  <ds:schemaRefs>
    <ds:schemaRef ds:uri="http://schemas.microsoft.com/sharepoint/v3/contenttype/forms"/>
  </ds:schemaRefs>
</ds:datastoreItem>
</file>

<file path=customXml/itemProps2.xml><?xml version="1.0" encoding="utf-8"?>
<ds:datastoreItem xmlns:ds="http://schemas.openxmlformats.org/officeDocument/2006/customXml" ds:itemID="{6E0B8E56-CA83-48AF-8B98-AA6E430557AD}">
  <ds:schemaRefs>
    <ds:schemaRef ds:uri="http://www.imanage.com/work/xmlschema"/>
  </ds:schemaRefs>
</ds:datastoreItem>
</file>

<file path=customXml/itemProps3.xml><?xml version="1.0" encoding="utf-8"?>
<ds:datastoreItem xmlns:ds="http://schemas.openxmlformats.org/officeDocument/2006/customXml" ds:itemID="{6A6E5701-1637-453E-BA36-FEC8795DB174}">
  <ds:schemaRefs>
    <ds:schemaRef ds:uri="http://schemas.openxmlformats.org/officeDocument/2006/bibliography"/>
  </ds:schemaRefs>
</ds:datastoreItem>
</file>

<file path=customXml/itemProps4.xml><?xml version="1.0" encoding="utf-8"?>
<ds:datastoreItem xmlns:ds="http://schemas.openxmlformats.org/officeDocument/2006/customXml" ds:itemID="{2B6819F7-BDCF-41B9-95A2-3C9C1D9EB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e505c-5c28-4588-8bbc-eb42d2dbef2c"/>
    <ds:schemaRef ds:uri="9bd9fe73-af3f-4a53-a24d-70f3eaa5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3971</Words>
  <Characters>22389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2024-09-11T12:47:00Z</dcterms:created>
  <dcterms:modified xsi:type="dcterms:W3CDTF">2024-09-11T12:47:00Z</dcterms:modified>
</cp:coreProperties>
</file>